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6E" w:rsidRDefault="00B7213D" w:rsidP="00DC38A8">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4217DF">
        <w:rPr>
          <w:rFonts w:cs="Arial"/>
          <w:sz w:val="24"/>
        </w:rPr>
        <w:t>6</w:t>
      </w:r>
      <w:r w:rsidR="00C33EA4">
        <w:rPr>
          <w:rFonts w:cs="Arial"/>
          <w:sz w:val="24"/>
        </w:rPr>
        <w:t>bis</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A0510C">
        <w:rPr>
          <w:rFonts w:cs="Arial"/>
          <w:iCs/>
          <w:sz w:val="24"/>
        </w:rPr>
        <w:t>5951</w:t>
      </w:r>
    </w:p>
    <w:p w:rsidR="004275EF" w:rsidRPr="00C33EA4" w:rsidRDefault="00C33EA4" w:rsidP="004275EF">
      <w:pPr>
        <w:pStyle w:val="Header"/>
        <w:tabs>
          <w:tab w:val="right" w:pos="10206"/>
        </w:tabs>
        <w:spacing w:after="120"/>
        <w:jc w:val="both"/>
        <w:rPr>
          <w:rFonts w:cs="Arial"/>
          <w:sz w:val="24"/>
        </w:rPr>
      </w:pPr>
      <w:r w:rsidRPr="00C33EA4">
        <w:rPr>
          <w:rFonts w:eastAsia="SimSun"/>
          <w:sz w:val="24"/>
          <w:szCs w:val="24"/>
          <w:lang w:eastAsia="zh-CN"/>
        </w:rPr>
        <w:t>Sophia Antipolis, France</w:t>
      </w:r>
      <w:r w:rsidRPr="00C33EA4">
        <w:rPr>
          <w:rFonts w:eastAsia="SimSun"/>
          <w:sz w:val="24"/>
          <w:szCs w:val="24"/>
          <w:lang w:val="pt-BR" w:eastAsia="zh-CN"/>
        </w:rPr>
        <w:t>,</w:t>
      </w:r>
      <w:r w:rsidRPr="00C33EA4">
        <w:rPr>
          <w:sz w:val="24"/>
          <w:szCs w:val="24"/>
          <w:lang w:val="pt-BR"/>
        </w:rPr>
        <w:t xml:space="preserve"> </w:t>
      </w:r>
      <w:r w:rsidRPr="00C33EA4">
        <w:rPr>
          <w:sz w:val="24"/>
          <w:szCs w:val="24"/>
        </w:rPr>
        <w:t xml:space="preserve">12 </w:t>
      </w:r>
      <w:r w:rsidRPr="00C33EA4">
        <w:rPr>
          <w:rFonts w:eastAsia="SimSun"/>
          <w:sz w:val="24"/>
          <w:szCs w:val="24"/>
          <w:lang w:eastAsia="zh-CN"/>
        </w:rPr>
        <w:t>– 16</w:t>
      </w:r>
      <w:r w:rsidRPr="00C33EA4">
        <w:rPr>
          <w:sz w:val="24"/>
          <w:szCs w:val="24"/>
        </w:rPr>
        <w:t xml:space="preserve"> </w:t>
      </w:r>
      <w:r w:rsidRPr="00C33EA4">
        <w:rPr>
          <w:rFonts w:eastAsia="SimSun"/>
          <w:sz w:val="24"/>
          <w:szCs w:val="24"/>
          <w:lang w:eastAsia="zh-CN"/>
        </w:rPr>
        <w:t>Oct</w:t>
      </w:r>
      <w:r w:rsidRPr="00C33EA4">
        <w:rPr>
          <w:sz w:val="24"/>
          <w:szCs w:val="24"/>
        </w:rPr>
        <w:t>, 2015</w:t>
      </w:r>
    </w:p>
    <w:p w:rsidR="0099206E" w:rsidRPr="00BF1B44" w:rsidRDefault="0099206E" w:rsidP="00DC38A8">
      <w:pPr>
        <w:spacing w:after="120"/>
        <w:ind w:left="1985" w:hanging="1985"/>
        <w:jc w:val="both"/>
        <w:rPr>
          <w:rFonts w:ascii="Arial" w:hAnsi="Arial" w:cs="Arial"/>
          <w:b/>
        </w:rPr>
      </w:pPr>
    </w:p>
    <w:p w:rsidR="0099206E" w:rsidRPr="000171ED" w:rsidRDefault="0099206E" w:rsidP="00DC38A8">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A0510C" w:rsidRDefault="0099206E" w:rsidP="00DC38A8">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A0510C" w:rsidRPr="00A0510C">
        <w:rPr>
          <w:rFonts w:ascii="Arial" w:hAnsi="Arial" w:cs="Arial"/>
        </w:rPr>
        <w:t xml:space="preserve">Discussion on </w:t>
      </w:r>
      <w:r w:rsidR="00855A00" w:rsidRPr="00A0510C">
        <w:rPr>
          <w:rFonts w:ascii="Arial" w:hAnsi="Arial" w:cs="Arial"/>
        </w:rPr>
        <w:t xml:space="preserve">DMRS </w:t>
      </w:r>
      <w:r w:rsidR="00227BDB" w:rsidRPr="00A0510C">
        <w:rPr>
          <w:rFonts w:ascii="Arial" w:hAnsi="Arial" w:cs="Arial"/>
        </w:rPr>
        <w:t>sequence for</w:t>
      </w:r>
      <w:r w:rsidR="00A0510C" w:rsidRPr="00A0510C">
        <w:rPr>
          <w:rFonts w:ascii="Arial" w:hAnsi="Arial" w:cs="Arial"/>
        </w:rPr>
        <w:t xml:space="preserve"> UL IRC</w:t>
      </w:r>
    </w:p>
    <w:p w:rsidR="0099206E" w:rsidRPr="00C62060" w:rsidRDefault="0099206E" w:rsidP="00DC38A8">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2D6281" w:rsidRPr="0025066F">
        <w:rPr>
          <w:rFonts w:ascii="Arial" w:hAnsi="Arial" w:cs="Arial"/>
        </w:rPr>
        <w:t>7</w:t>
      </w:r>
      <w:r w:rsidR="005275CA" w:rsidRPr="0025066F">
        <w:rPr>
          <w:rFonts w:ascii="Arial" w:hAnsi="Arial" w:cs="Arial"/>
        </w:rPr>
        <w:t>.</w:t>
      </w:r>
      <w:r w:rsidR="0025066F" w:rsidRPr="0025066F">
        <w:rPr>
          <w:rFonts w:ascii="Arial" w:hAnsi="Arial" w:cs="Arial"/>
        </w:rPr>
        <w:t>6</w:t>
      </w:r>
      <w:r w:rsidR="00F06AAC">
        <w:rPr>
          <w:rFonts w:ascii="Arial" w:hAnsi="Arial" w:cs="Arial"/>
        </w:rPr>
        <w:t>.</w:t>
      </w:r>
      <w:r w:rsidR="004217DF">
        <w:rPr>
          <w:rFonts w:ascii="Arial" w:hAnsi="Arial" w:cs="Arial"/>
        </w:rPr>
        <w:t>3</w:t>
      </w:r>
    </w:p>
    <w:p w:rsidR="0099206E" w:rsidRDefault="0099206E" w:rsidP="00DC38A8">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051024" w:rsidRDefault="00051024" w:rsidP="00DC38A8">
      <w:pPr>
        <w:jc w:val="both"/>
        <w:rPr>
          <w:kern w:val="2"/>
        </w:rPr>
      </w:pPr>
    </w:p>
    <w:p w:rsidR="0064053A" w:rsidRDefault="0064053A" w:rsidP="00DC38A8">
      <w:pPr>
        <w:jc w:val="both"/>
        <w:rPr>
          <w:kern w:val="2"/>
        </w:rPr>
      </w:pPr>
    </w:p>
    <w:p w:rsidR="00337E10" w:rsidRDefault="00337E10" w:rsidP="00337E10">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A8477E" w:rsidRDefault="005524BB" w:rsidP="003E12D1">
      <w:pPr>
        <w:jc w:val="both"/>
        <w:rPr>
          <w:lang w:val="en-US"/>
        </w:rPr>
      </w:pPr>
      <w:r>
        <w:rPr>
          <w:lang w:val="en-US"/>
        </w:rPr>
        <w:t>The progress of the UL IRC WI [1] work has reached the stage to define and specif</w:t>
      </w:r>
      <w:r w:rsidR="00A0510C">
        <w:rPr>
          <w:lang w:val="en-US"/>
        </w:rPr>
        <w:t>y</w:t>
      </w:r>
      <w:r>
        <w:rPr>
          <w:lang w:val="en-US"/>
        </w:rPr>
        <w:t xml:space="preserve"> detailed assumptions [2] for simulation work.  </w:t>
      </w:r>
      <w:r w:rsidR="00A8477E">
        <w:rPr>
          <w:lang w:val="en-US"/>
        </w:rPr>
        <w:t>The DMRS sequences for serving and interfering cells have not been defined in the simulation assumption [2].  Although the choice of DMRS might not have significant impact on MMSE-IRC performance, it is an important parameter for conformance test of BS MMSE-IRC.</w:t>
      </w:r>
    </w:p>
    <w:p w:rsidR="005524BB" w:rsidRDefault="00A8477E" w:rsidP="00A0510C">
      <w:pPr>
        <w:jc w:val="both"/>
        <w:rPr>
          <w:lang w:val="en-US"/>
        </w:rPr>
      </w:pPr>
      <w:r>
        <w:rPr>
          <w:lang w:val="en-US"/>
        </w:rPr>
        <w:t>In the last RAN4 meeting, m</w:t>
      </w:r>
      <w:r w:rsidR="005524BB">
        <w:rPr>
          <w:lang w:val="en-US"/>
        </w:rPr>
        <w:t>any agreements have be</w:t>
      </w:r>
      <w:r>
        <w:rPr>
          <w:lang w:val="en-US"/>
        </w:rPr>
        <w:t xml:space="preserve">en reached </w:t>
      </w:r>
      <w:r w:rsidR="0064053A">
        <w:rPr>
          <w:lang w:val="en-US"/>
        </w:rPr>
        <w:t xml:space="preserve">in the ad-hoc meeting </w:t>
      </w:r>
      <w:r w:rsidR="005524BB">
        <w:rPr>
          <w:lang w:val="en-US"/>
        </w:rPr>
        <w:t>[3].</w:t>
      </w:r>
      <w:r w:rsidR="0064053A">
        <w:rPr>
          <w:lang w:val="en-US"/>
        </w:rPr>
        <w:t xml:space="preserve"> On DMRS, it is agreed that </w:t>
      </w:r>
    </w:p>
    <w:p w:rsidR="0064053A" w:rsidRDefault="0064053A" w:rsidP="00A0510C">
      <w:pPr>
        <w:numPr>
          <w:ilvl w:val="0"/>
          <w:numId w:val="8"/>
        </w:numPr>
        <w:overflowPunct/>
        <w:autoSpaceDE/>
        <w:autoSpaceDN/>
        <w:adjustRightInd/>
        <w:spacing w:afterLines="50"/>
        <w:jc w:val="both"/>
        <w:textAlignment w:val="auto"/>
        <w:rPr>
          <w:highlight w:val="green"/>
          <w:lang w:eastAsia="zh-CN"/>
        </w:rPr>
      </w:pPr>
      <w:r w:rsidRPr="005E3FD3">
        <w:rPr>
          <w:rFonts w:hint="eastAsia"/>
          <w:highlight w:val="green"/>
          <w:lang w:eastAsia="zh-CN"/>
        </w:rPr>
        <w:t>DMRS bases sequence:</w:t>
      </w:r>
    </w:p>
    <w:p w:rsidR="0064053A" w:rsidRPr="005524BB" w:rsidRDefault="0064053A" w:rsidP="00A0510C">
      <w:pPr>
        <w:numPr>
          <w:ilvl w:val="1"/>
          <w:numId w:val="8"/>
        </w:numPr>
        <w:overflowPunct/>
        <w:autoSpaceDE/>
        <w:autoSpaceDN/>
        <w:adjustRightInd/>
        <w:spacing w:afterLines="50"/>
        <w:jc w:val="both"/>
        <w:textAlignment w:val="auto"/>
        <w:rPr>
          <w:highlight w:val="green"/>
          <w:lang w:eastAsia="zh-CN"/>
        </w:rPr>
      </w:pPr>
      <w:r w:rsidRPr="005524BB">
        <w:rPr>
          <w:rFonts w:hint="eastAsia"/>
          <w:highlight w:val="green"/>
          <w:lang w:eastAsia="zh-CN"/>
        </w:rPr>
        <w:t>Use the different base sequences for serving UE and interference UEs.</w:t>
      </w:r>
    </w:p>
    <w:p w:rsidR="005524BB" w:rsidRDefault="0064053A" w:rsidP="00A0510C">
      <w:pPr>
        <w:jc w:val="both"/>
        <w:rPr>
          <w:lang w:val="en-US"/>
        </w:rPr>
      </w:pPr>
      <w:r>
        <w:rPr>
          <w:lang w:val="en-US"/>
        </w:rPr>
        <w:t xml:space="preserve">In this paper, we provide </w:t>
      </w:r>
      <w:r w:rsidR="00B675BF">
        <w:rPr>
          <w:lang w:val="en-US"/>
        </w:rPr>
        <w:t xml:space="preserve">some analysis on the </w:t>
      </w:r>
      <w:r>
        <w:rPr>
          <w:lang w:val="en-US"/>
        </w:rPr>
        <w:t>background of</w:t>
      </w:r>
      <w:r w:rsidR="00B675BF">
        <w:rPr>
          <w:lang w:val="en-US"/>
        </w:rPr>
        <w:t xml:space="preserve"> UL DMRS design</w:t>
      </w:r>
      <w:r>
        <w:rPr>
          <w:lang w:val="en-US"/>
        </w:rPr>
        <w:t>.  O</w:t>
      </w:r>
      <w:r w:rsidR="00B675BF">
        <w:rPr>
          <w:lang w:val="en-US"/>
        </w:rPr>
        <w:t xml:space="preserve">ur views on the </w:t>
      </w:r>
      <w:r>
        <w:rPr>
          <w:lang w:val="en-US"/>
        </w:rPr>
        <w:t xml:space="preserve">choice of </w:t>
      </w:r>
      <w:r w:rsidR="00B675BF">
        <w:rPr>
          <w:lang w:val="en-US"/>
        </w:rPr>
        <w:t xml:space="preserve">UL DMRS </w:t>
      </w:r>
      <w:r>
        <w:rPr>
          <w:lang w:val="en-US"/>
        </w:rPr>
        <w:t>sequences are provided for MMSE-IRC tests for UE in serving and interfering cells.</w:t>
      </w:r>
    </w:p>
    <w:p w:rsidR="00B675BF" w:rsidRDefault="00B675BF" w:rsidP="003E12D1">
      <w:pPr>
        <w:jc w:val="both"/>
        <w:rPr>
          <w:lang w:val="en-US"/>
        </w:rPr>
      </w:pPr>
    </w:p>
    <w:p w:rsidR="00855A00" w:rsidRDefault="00855A00" w:rsidP="00855A00">
      <w:pPr>
        <w:pStyle w:val="Heading3"/>
        <w:jc w:val="both"/>
        <w:rPr>
          <w:kern w:val="2"/>
          <w:lang w:val="en-US"/>
        </w:rPr>
      </w:pPr>
      <w:r>
        <w:rPr>
          <w:kern w:val="2"/>
          <w:lang w:val="en-US"/>
        </w:rPr>
        <w:t>2</w:t>
      </w:r>
      <w:r>
        <w:rPr>
          <w:kern w:val="2"/>
          <w:lang w:val="en-US"/>
        </w:rPr>
        <w:tab/>
        <w:t>UL demodulation reference sequence (UL DMRS)</w:t>
      </w:r>
    </w:p>
    <w:p w:rsidR="00855A00" w:rsidRDefault="005365E2" w:rsidP="0064053A">
      <w:r>
        <w:t xml:space="preserve">The LTE’s </w:t>
      </w:r>
      <w:r w:rsidR="00855A00">
        <w:t>UL DMRS</w:t>
      </w:r>
      <w:r>
        <w:t xml:space="preserve"> (demodulation reference symbol)</w:t>
      </w:r>
      <w:r w:rsidR="00855A00">
        <w:t xml:space="preserve"> sequence is based on cyclic extension of </w:t>
      </w:r>
      <w:proofErr w:type="spellStart"/>
      <w:r w:rsidR="00855A00">
        <w:t>Zadoff</w:t>
      </w:r>
      <w:proofErr w:type="spellEnd"/>
      <w:r w:rsidR="00855A00">
        <w:t>-Chu sequences.</w:t>
      </w:r>
      <w:r w:rsidR="0064053A">
        <w:t xml:space="preserve"> </w:t>
      </w:r>
      <w:r>
        <w:t>From 36.211 [4], the definition of UL reference signal sequence is provided here (Section 5.5.1 of 36.211):</w:t>
      </w:r>
    </w:p>
    <w:p w:rsidR="005365E2" w:rsidRDefault="005365E2" w:rsidP="00855A00">
      <w:pPr>
        <w:pStyle w:val="ListParagraph"/>
        <w:ind w:left="0"/>
        <w:rPr>
          <w:rFonts w:asciiTheme="minorHAnsi" w:hAnsiTheme="minorHAnsi"/>
          <w:sz w:val="20"/>
          <w:szCs w:val="20"/>
        </w:rPr>
      </w:pPr>
    </w:p>
    <w:p w:rsidR="005365E2" w:rsidRPr="005365E2" w:rsidRDefault="005365E2" w:rsidP="005365E2">
      <w:pPr>
        <w:rPr>
          <w:i/>
        </w:rPr>
      </w:pPr>
      <w:r w:rsidRPr="005365E2">
        <w:rPr>
          <w:i/>
        </w:rPr>
        <w:t xml:space="preserve">Reference signal sequence </w:t>
      </w:r>
      <w:r w:rsidRPr="005365E2">
        <w:rPr>
          <w:i/>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8pt" o:ole="">
            <v:imagedata r:id="rId8" o:title=""/>
          </v:shape>
          <o:OLEObject Type="Embed" ProgID="Equation.3" ShapeID="_x0000_i1025" DrawAspect="Content" ObjectID="_1505548012" r:id="rId9"/>
        </w:object>
      </w:r>
      <w:r w:rsidRPr="005365E2">
        <w:rPr>
          <w:i/>
        </w:rPr>
        <w:t xml:space="preserve"> is defined by a cyclic shift </w:t>
      </w:r>
      <w:r w:rsidRPr="005365E2">
        <w:rPr>
          <w:i/>
          <w:position w:val="-6"/>
        </w:rPr>
        <w:object w:dxaOrig="200" w:dyaOrig="200">
          <v:shape id="_x0000_i1026" type="#_x0000_t75" style="width:9.8pt;height:9.8pt" o:ole="">
            <v:imagedata r:id="rId10" o:title=""/>
          </v:shape>
          <o:OLEObject Type="Embed" ProgID="Equation.3" ShapeID="_x0000_i1026" DrawAspect="Content" ObjectID="_1505548013" r:id="rId11"/>
        </w:object>
      </w:r>
      <w:r w:rsidRPr="005365E2">
        <w:rPr>
          <w:i/>
        </w:rPr>
        <w:t xml:space="preserve"> of a base sequence </w:t>
      </w:r>
      <w:r w:rsidRPr="005365E2">
        <w:rPr>
          <w:i/>
          <w:position w:val="-12"/>
        </w:rPr>
        <w:object w:dxaOrig="600" w:dyaOrig="320">
          <v:shape id="_x0000_i1027" type="#_x0000_t75" style="width:30pt;height:15.8pt" o:ole="">
            <v:imagedata r:id="rId12" o:title=""/>
          </v:shape>
          <o:OLEObject Type="Embed" ProgID="Equation.3" ShapeID="_x0000_i1027" DrawAspect="Content" ObjectID="_1505548014" r:id="rId13"/>
        </w:object>
      </w:r>
      <w:r w:rsidRPr="005365E2">
        <w:rPr>
          <w:i/>
        </w:rPr>
        <w:t xml:space="preserve"> according to </w:t>
      </w:r>
    </w:p>
    <w:p w:rsidR="005365E2" w:rsidRPr="005365E2" w:rsidRDefault="005365E2" w:rsidP="005365E2">
      <w:pPr>
        <w:pStyle w:val="EQ"/>
        <w:jc w:val="center"/>
        <w:rPr>
          <w:i/>
        </w:rPr>
      </w:pPr>
      <w:r w:rsidRPr="005365E2">
        <w:rPr>
          <w:i/>
          <w:position w:val="-12"/>
        </w:rPr>
        <w:object w:dxaOrig="2960" w:dyaOrig="360">
          <v:shape id="_x0000_i1028" type="#_x0000_t75" style="width:147.8pt;height:18pt" o:ole="">
            <v:imagedata r:id="rId14" o:title=""/>
          </v:shape>
          <o:OLEObject Type="Embed" ProgID="Equation.3" ShapeID="_x0000_i1028" DrawAspect="Content" ObjectID="_1505548015" r:id="rId15"/>
        </w:object>
      </w:r>
    </w:p>
    <w:p w:rsidR="005365E2" w:rsidRPr="005365E2" w:rsidRDefault="005365E2" w:rsidP="005365E2">
      <w:pPr>
        <w:pStyle w:val="ListParagraph"/>
        <w:ind w:left="0"/>
        <w:rPr>
          <w:rFonts w:asciiTheme="minorHAnsi" w:hAnsiTheme="minorHAnsi"/>
          <w:i/>
          <w:sz w:val="20"/>
          <w:szCs w:val="20"/>
        </w:rPr>
      </w:pPr>
      <w:proofErr w:type="gramStart"/>
      <w:r w:rsidRPr="005365E2">
        <w:rPr>
          <w:i/>
          <w:sz w:val="20"/>
          <w:szCs w:val="20"/>
        </w:rPr>
        <w:t>where</w:t>
      </w:r>
      <w:proofErr w:type="gramEnd"/>
      <w:r w:rsidRPr="005365E2">
        <w:rPr>
          <w:i/>
          <w:sz w:val="20"/>
          <w:szCs w:val="20"/>
        </w:rPr>
        <w:t xml:space="preserve"> </w:t>
      </w:r>
      <w:r w:rsidRPr="005365E2">
        <w:rPr>
          <w:i/>
          <w:position w:val="-10"/>
          <w:sz w:val="20"/>
          <w:szCs w:val="20"/>
        </w:rPr>
        <w:object w:dxaOrig="1200" w:dyaOrig="340">
          <v:shape id="_x0000_i1029" type="#_x0000_t75" style="width:60pt;height:16.9pt" o:ole="">
            <v:imagedata r:id="rId16" o:title=""/>
          </v:shape>
          <o:OLEObject Type="Embed" ProgID="Equation.3" ShapeID="_x0000_i1029" DrawAspect="Content" ObjectID="_1505548016" r:id="rId17"/>
        </w:object>
      </w:r>
      <w:r w:rsidRPr="005365E2">
        <w:rPr>
          <w:i/>
          <w:sz w:val="20"/>
          <w:szCs w:val="20"/>
        </w:rPr>
        <w:t xml:space="preserve"> is the length of the reference signal sequence and</w:t>
      </w:r>
      <w:r w:rsidRPr="005365E2">
        <w:rPr>
          <w:i/>
          <w:position w:val="-10"/>
          <w:sz w:val="20"/>
          <w:szCs w:val="20"/>
        </w:rPr>
        <w:object w:dxaOrig="1340" w:dyaOrig="340">
          <v:shape id="_x0000_i1030" type="#_x0000_t75" style="width:67.1pt;height:16.9pt" o:ole="">
            <v:imagedata r:id="rId18" o:title=""/>
          </v:shape>
          <o:OLEObject Type="Embed" ProgID="Equation.3" ShapeID="_x0000_i1030" DrawAspect="Content" ObjectID="_1505548017" r:id="rId19"/>
        </w:object>
      </w:r>
      <w:r w:rsidRPr="005365E2">
        <w:rPr>
          <w:i/>
          <w:sz w:val="20"/>
          <w:szCs w:val="20"/>
        </w:rPr>
        <w:t xml:space="preserve">. Multiple reference signal sequences are defined from a single base sequence through different values </w:t>
      </w:r>
      <w:proofErr w:type="gramStart"/>
      <w:r w:rsidRPr="005365E2">
        <w:rPr>
          <w:i/>
          <w:sz w:val="20"/>
          <w:szCs w:val="20"/>
        </w:rPr>
        <w:t xml:space="preserve">of </w:t>
      </w:r>
      <w:proofErr w:type="gramEnd"/>
      <w:r w:rsidRPr="005365E2">
        <w:rPr>
          <w:i/>
          <w:position w:val="-6"/>
          <w:sz w:val="20"/>
          <w:szCs w:val="20"/>
        </w:rPr>
        <w:object w:dxaOrig="200" w:dyaOrig="200">
          <v:shape id="_x0000_i1031" type="#_x0000_t75" style="width:9.8pt;height:9.8pt" o:ole="">
            <v:imagedata r:id="rId10" o:title=""/>
          </v:shape>
          <o:OLEObject Type="Embed" ProgID="Equation.3" ShapeID="_x0000_i1031" DrawAspect="Content" ObjectID="_1505548018" r:id="rId20"/>
        </w:object>
      </w:r>
      <w:r w:rsidRPr="005365E2">
        <w:rPr>
          <w:i/>
          <w:sz w:val="20"/>
          <w:szCs w:val="20"/>
        </w:rPr>
        <w:t>.</w:t>
      </w:r>
    </w:p>
    <w:p w:rsidR="005365E2" w:rsidRDefault="005365E2" w:rsidP="00855A00">
      <w:pPr>
        <w:pStyle w:val="ListParagraph"/>
        <w:ind w:left="0"/>
        <w:rPr>
          <w:rFonts w:asciiTheme="minorHAnsi" w:hAnsiTheme="minorHAnsi"/>
          <w:sz w:val="20"/>
          <w:szCs w:val="20"/>
        </w:rPr>
      </w:pPr>
    </w:p>
    <w:p w:rsidR="005365E2" w:rsidRPr="005365E2" w:rsidRDefault="005365E2" w:rsidP="005365E2">
      <w:pPr>
        <w:rPr>
          <w:i/>
        </w:rPr>
      </w:pPr>
      <w:r w:rsidRPr="005365E2">
        <w:rPr>
          <w:rFonts w:asciiTheme="minorHAnsi" w:hAnsiTheme="minorHAnsi"/>
          <w:i/>
        </w:rPr>
        <w:t xml:space="preserve">… </w:t>
      </w:r>
      <w:proofErr w:type="gramStart"/>
      <w:r w:rsidRPr="005365E2">
        <w:rPr>
          <w:rFonts w:asciiTheme="minorHAnsi" w:hAnsiTheme="minorHAnsi"/>
          <w:i/>
        </w:rPr>
        <w:t>the</w:t>
      </w:r>
      <w:proofErr w:type="gramEnd"/>
      <w:r w:rsidRPr="005365E2">
        <w:rPr>
          <w:rFonts w:asciiTheme="minorHAnsi" w:hAnsiTheme="minorHAnsi"/>
          <w:i/>
        </w:rPr>
        <w:t xml:space="preserve"> base sequence </w:t>
      </w:r>
      <w:r w:rsidRPr="005365E2">
        <w:rPr>
          <w:i/>
          <w:position w:val="-12"/>
        </w:rPr>
        <w:object w:dxaOrig="1920" w:dyaOrig="360">
          <v:shape id="_x0000_i1032" type="#_x0000_t75" style="width:96pt;height:18pt" o:ole="">
            <v:imagedata r:id="rId21" o:title=""/>
          </v:shape>
          <o:OLEObject Type="Embed" ProgID="Equation.3" ShapeID="_x0000_i1032" DrawAspect="Content" ObjectID="_1505548019" r:id="rId22"/>
        </w:object>
      </w:r>
      <w:r w:rsidRPr="005365E2">
        <w:rPr>
          <w:i/>
        </w:rPr>
        <w:t xml:space="preserve"> is given by</w:t>
      </w:r>
    </w:p>
    <w:p w:rsidR="005365E2" w:rsidRPr="005365E2" w:rsidRDefault="005365E2" w:rsidP="005365E2">
      <w:pPr>
        <w:pStyle w:val="EQ"/>
        <w:jc w:val="center"/>
        <w:rPr>
          <w:i/>
        </w:rPr>
      </w:pPr>
      <w:r w:rsidRPr="005365E2">
        <w:rPr>
          <w:i/>
          <w:position w:val="-14"/>
        </w:rPr>
        <w:object w:dxaOrig="3280" w:dyaOrig="380">
          <v:shape id="_x0000_i1033" type="#_x0000_t75" style="width:164.2pt;height:19.1pt" o:ole="">
            <v:imagedata r:id="rId23" o:title=""/>
          </v:shape>
          <o:OLEObject Type="Embed" ProgID="Equation.3" ShapeID="_x0000_i1033" DrawAspect="Content" ObjectID="_1505548020" r:id="rId24"/>
        </w:object>
      </w:r>
    </w:p>
    <w:p w:rsidR="005365E2" w:rsidRPr="005365E2" w:rsidRDefault="005365E2" w:rsidP="005365E2">
      <w:pPr>
        <w:rPr>
          <w:i/>
        </w:rPr>
      </w:pPr>
      <w:proofErr w:type="gramStart"/>
      <w:r w:rsidRPr="005365E2">
        <w:rPr>
          <w:i/>
        </w:rPr>
        <w:t>where</w:t>
      </w:r>
      <w:proofErr w:type="gramEnd"/>
      <w:r w:rsidRPr="005365E2">
        <w:rPr>
          <w:i/>
        </w:rPr>
        <w:t xml:space="preserve"> the </w:t>
      </w:r>
      <w:r w:rsidRPr="005365E2">
        <w:rPr>
          <w:i/>
          <w:position w:val="-10"/>
        </w:rPr>
        <w:object w:dxaOrig="320" w:dyaOrig="340">
          <v:shape id="_x0000_i1034" type="#_x0000_t75" style="width:15.8pt;height:16.9pt" o:ole="">
            <v:imagedata r:id="rId25" o:title=""/>
          </v:shape>
          <o:OLEObject Type="Embed" ProgID="Equation.3" ShapeID="_x0000_i1034" DrawAspect="Content" ObjectID="_1505548021" r:id="rId26"/>
        </w:object>
      </w:r>
      <w:r w:rsidRPr="005365E2">
        <w:rPr>
          <w:i/>
        </w:rPr>
        <w:t xml:space="preserve"> root  </w:t>
      </w:r>
      <w:proofErr w:type="spellStart"/>
      <w:r w:rsidRPr="005365E2">
        <w:rPr>
          <w:i/>
        </w:rPr>
        <w:t>Zadoff</w:t>
      </w:r>
      <w:proofErr w:type="spellEnd"/>
      <w:r w:rsidRPr="005365E2">
        <w:rPr>
          <w:i/>
        </w:rPr>
        <w:t>-Chu sequence is defined by</w:t>
      </w:r>
    </w:p>
    <w:p w:rsidR="005365E2" w:rsidRPr="005365E2" w:rsidRDefault="005365E2" w:rsidP="005365E2">
      <w:pPr>
        <w:pStyle w:val="EQ"/>
        <w:jc w:val="center"/>
        <w:rPr>
          <w:i/>
        </w:rPr>
      </w:pPr>
      <w:r w:rsidRPr="005365E2">
        <w:rPr>
          <w:i/>
          <w:position w:val="-14"/>
        </w:rPr>
        <w:object w:dxaOrig="3159" w:dyaOrig="600">
          <v:shape id="_x0000_i1035" type="#_x0000_t75" style="width:158.2pt;height:30pt" o:ole="">
            <v:imagedata r:id="rId27" o:title=""/>
          </v:shape>
          <o:OLEObject Type="Embed" ProgID="Equation.3" ShapeID="_x0000_i1035" DrawAspect="Content" ObjectID="_1505548022" r:id="rId28"/>
        </w:object>
      </w:r>
    </w:p>
    <w:p w:rsidR="005365E2" w:rsidRDefault="005365E2" w:rsidP="0064053A">
      <w:proofErr w:type="gramStart"/>
      <w:r>
        <w:t>when</w:t>
      </w:r>
      <w:proofErr w:type="gramEnd"/>
      <w:r>
        <w:t xml:space="preserve"> the </w:t>
      </w:r>
      <w:r w:rsidR="00243DFF">
        <w:t xml:space="preserve">length of the </w:t>
      </w:r>
      <w:r>
        <w:t xml:space="preserve">base sequence is equal to or greater than </w:t>
      </w:r>
      <w:r w:rsidRPr="001B50D2">
        <w:rPr>
          <w:position w:val="-10"/>
        </w:rPr>
        <w:object w:dxaOrig="540" w:dyaOrig="340">
          <v:shape id="_x0000_i1036" type="#_x0000_t75" style="width:27.25pt;height:16.9pt" o:ole="">
            <v:imagedata r:id="rId29" o:title=""/>
          </v:shape>
          <o:OLEObject Type="Embed" ProgID="Equation.3" ShapeID="_x0000_i1036" DrawAspect="Content" ObjectID="_1505548023" r:id="rId30"/>
        </w:object>
      </w:r>
      <w:r>
        <w:t>.</w:t>
      </w:r>
    </w:p>
    <w:p w:rsidR="005365E2" w:rsidRDefault="004D7A42" w:rsidP="0064053A">
      <w:r>
        <w:t xml:space="preserve">The base sequence </w:t>
      </w:r>
      <w:r w:rsidRPr="005365E2">
        <w:rPr>
          <w:i/>
          <w:position w:val="-12"/>
        </w:rPr>
        <w:object w:dxaOrig="600" w:dyaOrig="320">
          <v:shape id="_x0000_i1037" type="#_x0000_t75" style="width:30pt;height:15.8pt" o:ole="">
            <v:imagedata r:id="rId12" o:title=""/>
          </v:shape>
          <o:OLEObject Type="Embed" ProgID="Equation.3" ShapeID="_x0000_i1037" DrawAspect="Content" ObjectID="_1505548024" r:id="rId31"/>
        </w:object>
      </w:r>
      <w:r>
        <w:t xml:space="preserve">is a cyclic extension of </w:t>
      </w:r>
      <w:proofErr w:type="spellStart"/>
      <w:r>
        <w:t>Zadoff</w:t>
      </w:r>
      <w:proofErr w:type="spellEnd"/>
      <w:r>
        <w:t xml:space="preserve">-Chu sequence with length </w:t>
      </w:r>
      <w:proofErr w:type="gramStart"/>
      <w:r>
        <w:t xml:space="preserve">of </w:t>
      </w:r>
      <m:oMath>
        <w:proofErr w:type="gramEnd"/>
        <m:sSubSup>
          <m:sSubSupPr>
            <m:ctrlPr>
              <w:rPr>
                <w:rFonts w:ascii="Cambria Math" w:hAnsi="Cambria Math"/>
                <w:i/>
              </w:rPr>
            </m:ctrlPr>
          </m:sSubSupPr>
          <m:e>
            <m:r>
              <w:rPr>
                <w:rFonts w:ascii="Cambria Math" w:hAnsi="Cambria Math"/>
              </w:rPr>
              <m:t>N</m:t>
            </m:r>
          </m:e>
          <m:sub>
            <m:r>
              <w:rPr>
                <w:rFonts w:ascii="Cambria Math" w:hAnsi="Cambria Math"/>
              </w:rPr>
              <m:t>ZC</m:t>
            </m:r>
          </m:sub>
          <m:sup>
            <m:r>
              <w:rPr>
                <w:rFonts w:ascii="Cambria Math" w:hAnsi="Cambria Math"/>
              </w:rPr>
              <m:t>RS</m:t>
            </m:r>
          </m:sup>
        </m:sSubSup>
      </m:oMath>
      <w:r w:rsidR="00BA1B0B">
        <w:t xml:space="preserve">.  Each base sequence </w:t>
      </w:r>
      <w:r w:rsidR="00BA1B0B" w:rsidRPr="005365E2">
        <w:rPr>
          <w:i/>
          <w:position w:val="-12"/>
        </w:rPr>
        <w:object w:dxaOrig="600" w:dyaOrig="320">
          <v:shape id="_x0000_i1038" type="#_x0000_t75" style="width:30pt;height:15.8pt" o:ole="">
            <v:imagedata r:id="rId12" o:title=""/>
          </v:shape>
          <o:OLEObject Type="Embed" ProgID="Equation.3" ShapeID="_x0000_i1038" DrawAspect="Content" ObjectID="_1505548025" r:id="rId32"/>
        </w:object>
      </w:r>
      <w:r w:rsidR="00BA1B0B">
        <w:t xml:space="preserve">is uniquely identified </w:t>
      </w:r>
      <w:proofErr w:type="gramStart"/>
      <w:r w:rsidR="00BA1B0B">
        <w:t xml:space="preserve">by </w:t>
      </w:r>
      <m:oMath>
        <w:proofErr w:type="gramEnd"/>
        <m:r>
          <w:rPr>
            <w:rFonts w:ascii="Cambria Math" w:hAnsi="Cambria Math"/>
          </w:rPr>
          <m:t>(u,v)</m:t>
        </m:r>
      </m:oMath>
      <w:r w:rsidR="00BA1B0B">
        <w:t xml:space="preserve">, which defines the group number </w:t>
      </w:r>
      <m:oMath>
        <m:r>
          <w:rPr>
            <w:rFonts w:ascii="Cambria Math" w:hAnsi="Cambria Math"/>
          </w:rPr>
          <m:t>u</m:t>
        </m:r>
      </m:oMath>
      <w:r w:rsidR="00BA1B0B">
        <w:t xml:space="preserve"> and base sequence number </w:t>
      </w:r>
      <m:oMath>
        <m:r>
          <w:rPr>
            <w:rFonts w:ascii="Cambria Math" w:hAnsi="Cambria Math"/>
          </w:rPr>
          <m:t>v</m:t>
        </m:r>
      </m:oMath>
      <w:r w:rsidR="00BA1B0B">
        <w:t xml:space="preserve"> </w:t>
      </w:r>
      <w:r w:rsidR="00716664">
        <w:t xml:space="preserve">(0 or 1) </w:t>
      </w:r>
      <w:r w:rsidR="00BA1B0B">
        <w:t>within the group.</w:t>
      </w:r>
    </w:p>
    <w:p w:rsidR="0064053A" w:rsidRDefault="0064053A" w:rsidP="0064053A"/>
    <w:p w:rsidR="00855A00" w:rsidRDefault="00BA1B0B" w:rsidP="00A0510C">
      <w:pPr>
        <w:jc w:val="both"/>
      </w:pPr>
      <w:r>
        <w:lastRenderedPageBreak/>
        <w:t xml:space="preserve">There are </w:t>
      </w:r>
      <w:r w:rsidR="00855A00">
        <w:t xml:space="preserve">30 groups of </w:t>
      </w:r>
      <w:r>
        <w:t>base sequence in LTE, where</w:t>
      </w:r>
      <w:r w:rsidR="00716664">
        <w:t xml:space="preserve"> the sequence-group </w:t>
      </w:r>
      <w:proofErr w:type="gramStart"/>
      <w:r w:rsidR="00716664">
        <w:t>number</w:t>
      </w:r>
      <w:r>
        <w:t xml:space="preserve"> </w:t>
      </w:r>
      <m:oMath>
        <w:proofErr w:type="gramEnd"/>
        <m:r>
          <w:rPr>
            <w:rFonts w:ascii="Cambria Math" w:hAnsi="Cambria Math"/>
          </w:rPr>
          <m:t>u∈{0,1,⋯,29}</m:t>
        </m:r>
      </m:oMath>
      <w:r>
        <w:t xml:space="preserve">.  </w:t>
      </w:r>
      <w:r w:rsidR="00855A00">
        <w:t>Within each group, different phase-rotated</w:t>
      </w:r>
      <w:r>
        <w:t xml:space="preserve"> </w:t>
      </w:r>
      <w:r w:rsidR="00855A00">
        <w:t>sequence</w:t>
      </w:r>
      <w:r>
        <w:t xml:space="preserve">s are used with different cyclic </w:t>
      </w:r>
      <w:proofErr w:type="gramStart"/>
      <w:r>
        <w:t xml:space="preserve">shift </w:t>
      </w:r>
      <m:oMath>
        <w:proofErr w:type="gramEnd"/>
        <m:r>
          <w:rPr>
            <w:rFonts w:ascii="Cambria Math" w:hAnsi="Cambria Math"/>
          </w:rPr>
          <m:t>α</m:t>
        </m:r>
      </m:oMath>
      <w:r>
        <w:t>.</w:t>
      </w:r>
    </w:p>
    <w:p w:rsidR="004E3696" w:rsidRDefault="004E3696" w:rsidP="00A0510C">
      <w:pPr>
        <w:jc w:val="both"/>
      </w:pPr>
      <w:r>
        <w:t xml:space="preserve">The sequence-group number </w:t>
      </w:r>
      <m:oMath>
        <m:r>
          <w:rPr>
            <w:rFonts w:ascii="Cambria Math" w:hAnsi="Cambria Math"/>
          </w:rPr>
          <m:t>u</m:t>
        </m:r>
      </m:oMath>
      <w:r>
        <w:t xml:space="preserve"> in one </w:t>
      </w:r>
      <w:proofErr w:type="gramStart"/>
      <w:r>
        <w:t xml:space="preserve">slot </w:t>
      </w:r>
      <m:oMath>
        <w:proofErr w:type="gramEnd"/>
        <m:sSub>
          <m:sSubPr>
            <m:ctrlPr>
              <w:rPr>
                <w:rFonts w:ascii="Cambria Math" w:hAnsi="Cambria Math"/>
                <w:i/>
              </w:rPr>
            </m:ctrlPr>
          </m:sSubPr>
          <m:e>
            <m:r>
              <w:rPr>
                <w:rFonts w:ascii="Cambria Math" w:hAnsi="Cambria Math"/>
              </w:rPr>
              <m:t>n</m:t>
            </m:r>
          </m:e>
          <m:sub>
            <m:r>
              <w:rPr>
                <w:rFonts w:ascii="Cambria Math" w:hAnsi="Cambria Math"/>
              </w:rPr>
              <m:t>s</m:t>
            </m:r>
          </m:sub>
        </m:sSub>
      </m:oMath>
      <w:r>
        <w:t>, as specified in 36.211</w:t>
      </w:r>
      <w:r w:rsidR="00716664">
        <w:t xml:space="preserve"> [4]</w:t>
      </w:r>
      <w:r>
        <w:t xml:space="preserve">, is determined by the group hopping pattern </w:t>
      </w:r>
      <m:oMath>
        <m:sSub>
          <m:sSubPr>
            <m:ctrlPr>
              <w:rPr>
                <w:rFonts w:ascii="Cambria Math" w:hAnsi="Cambria Math"/>
                <w:i/>
              </w:rPr>
            </m:ctrlPr>
          </m:sSubPr>
          <m:e>
            <m:r>
              <w:rPr>
                <w:rFonts w:ascii="Cambria Math" w:hAnsi="Cambria Math"/>
              </w:rPr>
              <m:t>f</m:t>
            </m:r>
          </m:e>
          <m:sub>
            <m:r>
              <w:rPr>
                <w:rFonts w:ascii="Cambria Math" w:hAnsi="Cambria Math"/>
              </w: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e>
        </m:d>
      </m:oMath>
      <w:r>
        <w:t xml:space="preserve"> and sequence-shift pattern </w:t>
      </w:r>
      <m:oMath>
        <m:sSub>
          <m:sSubPr>
            <m:ctrlPr>
              <w:rPr>
                <w:rFonts w:ascii="Cambria Math" w:hAnsi="Cambria Math"/>
                <w:i/>
              </w:rPr>
            </m:ctrlPr>
          </m:sSubPr>
          <m:e>
            <m:r>
              <w:rPr>
                <w:rFonts w:ascii="Cambria Math" w:hAnsi="Cambria Math"/>
              </w:rPr>
              <m:t>f</m:t>
            </m:r>
          </m:e>
          <m:sub>
            <m:r>
              <w:rPr>
                <w:rFonts w:ascii="Cambria Math" w:hAnsi="Cambria Math"/>
              </w:rPr>
              <m:t>ss</m:t>
            </m:r>
          </m:sub>
        </m:sSub>
      </m:oMath>
      <w:r>
        <w:t>, as</w:t>
      </w:r>
    </w:p>
    <w:p w:rsidR="004E3696" w:rsidRDefault="004E3696" w:rsidP="0064053A">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ss</m:t>
                  </m:r>
                </m:sub>
              </m:sSub>
            </m:e>
          </m:d>
          <m:r>
            <w:rPr>
              <w:rFonts w:ascii="Cambria Math" w:hAnsi="Cambria Math"/>
            </w:rPr>
            <m:t>mod 30</m:t>
          </m:r>
        </m:oMath>
      </m:oMathPara>
    </w:p>
    <w:p w:rsidR="004E3696" w:rsidRDefault="004E3696" w:rsidP="0064053A">
      <w:r>
        <w:t xml:space="preserve">Only the sequence-shift pattern </w:t>
      </w:r>
      <m:oMath>
        <m:sSub>
          <m:sSubPr>
            <m:ctrlPr>
              <w:rPr>
                <w:rFonts w:ascii="Cambria Math" w:hAnsi="Cambria Math"/>
                <w:i/>
              </w:rPr>
            </m:ctrlPr>
          </m:sSubPr>
          <m:e>
            <m:r>
              <w:rPr>
                <w:rFonts w:ascii="Cambria Math" w:hAnsi="Cambria Math"/>
              </w:rPr>
              <m:t>f</m:t>
            </m:r>
          </m:e>
          <m:sub>
            <m:r>
              <w:rPr>
                <w:rFonts w:ascii="Cambria Math" w:hAnsi="Cambria Math"/>
              </w:rPr>
              <m:t>ss</m:t>
            </m:r>
          </m:sub>
        </m:sSub>
      </m:oMath>
      <w:r>
        <w:t xml:space="preserve"> is related with cell ID, which is determined by</w:t>
      </w:r>
    </w:p>
    <w:p w:rsidR="004E3696" w:rsidRDefault="008B0DFA" w:rsidP="0064053A">
      <m:oMathPara>
        <m:oMath>
          <m:sSubSup>
            <m:sSubSupPr>
              <m:ctrlPr>
                <w:rPr>
                  <w:rFonts w:ascii="Cambria Math" w:hAnsi="Cambria Math"/>
                  <w:i/>
                </w:rPr>
              </m:ctrlPr>
            </m:sSubSupPr>
            <m:e>
              <m:r>
                <w:rPr>
                  <w:rFonts w:ascii="Cambria Math" w:hAnsi="Cambria Math"/>
                </w:rPr>
                <m:t>f</m:t>
              </m:r>
            </m:e>
            <m:sub>
              <m:r>
                <w:rPr>
                  <w:rFonts w:ascii="Cambria Math" w:hAnsi="Cambria Math"/>
                </w:rPr>
                <m:t>ss</m:t>
              </m:r>
            </m:sub>
            <m:sup>
              <m:r>
                <w:rPr>
                  <w:rFonts w:ascii="Cambria Math" w:hAnsi="Cambria Math"/>
                </w:rPr>
                <m:t>PUCCH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mod 30</m:t>
          </m:r>
        </m:oMath>
      </m:oMathPara>
    </w:p>
    <w:p w:rsidR="004E3696" w:rsidRDefault="004E3696" w:rsidP="0064053A">
      <w:proofErr w:type="gramStart"/>
      <w:r>
        <w:t>and</w:t>
      </w:r>
      <w:proofErr w:type="gramEnd"/>
    </w:p>
    <w:p w:rsidR="004E3696" w:rsidRDefault="008B0DFA" w:rsidP="0064053A">
      <m:oMathPara>
        <m:oMath>
          <m:sSubSup>
            <m:sSubSupPr>
              <m:ctrlPr>
                <w:rPr>
                  <w:rFonts w:ascii="Cambria Math" w:hAnsi="Cambria Math"/>
                  <w:i/>
                </w:rPr>
              </m:ctrlPr>
            </m:sSubSupPr>
            <m:e>
              <m:r>
                <w:rPr>
                  <w:rFonts w:ascii="Cambria Math" w:hAnsi="Cambria Math"/>
                </w:rPr>
                <m:t>f</m:t>
              </m:r>
            </m:e>
            <m:sub>
              <m:r>
                <w:rPr>
                  <w:rFonts w:ascii="Cambria Math" w:hAnsi="Cambria Math"/>
                </w:rPr>
                <m:t>ss</m:t>
              </m:r>
            </m:sub>
            <m:sup>
              <m:r>
                <w:rPr>
                  <w:rFonts w:ascii="Cambria Math" w:hAnsi="Cambria Math"/>
                </w:rPr>
                <m:t>PUSCH</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ss</m:t>
                  </m:r>
                </m:sub>
                <m:sup>
                  <m:r>
                    <w:rPr>
                      <w:rFonts w:ascii="Cambria Math" w:hAnsi="Cambria Math"/>
                    </w:rPr>
                    <m:t>PUCCH</m:t>
                  </m:r>
                </m:sup>
              </m:sSubSup>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ss</m:t>
                  </m:r>
                </m:sub>
              </m:sSub>
            </m:e>
          </m:d>
          <m:r>
            <w:rPr>
              <w:rFonts w:ascii="Cambria Math" w:hAnsi="Cambria Math"/>
            </w:rPr>
            <m:t xml:space="preserve"> mod 30</m:t>
          </m:r>
        </m:oMath>
      </m:oMathPara>
    </w:p>
    <w:p w:rsidR="004E3696" w:rsidRDefault="004E3696" w:rsidP="0064053A">
      <w:proofErr w:type="gramStart"/>
      <w:r>
        <w:t>where</w:t>
      </w:r>
      <w:proofErr w:type="gramEnd"/>
      <w:r>
        <w:t xml:space="preserv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ss</m:t>
            </m:r>
          </m:sub>
        </m:sSub>
        <m:r>
          <w:rPr>
            <w:rFonts w:ascii="Cambria Math" w:hAnsi="Cambria Math"/>
          </w:rPr>
          <m:t>∈{0,1,⋯,29}</m:t>
        </m:r>
      </m:oMath>
      <w:r>
        <w:t xml:space="preserve"> is configured by higher layers.</w:t>
      </w:r>
      <w:r w:rsidR="00716664">
        <w:t xml:space="preserve"> </w:t>
      </w:r>
    </w:p>
    <w:p w:rsidR="00716664" w:rsidRDefault="00716664" w:rsidP="00A0510C">
      <w:pPr>
        <w:jc w:val="both"/>
      </w:pPr>
      <w:r>
        <w:t xml:space="preserve">Note that the sequence-group number </w:t>
      </w:r>
      <m:oMath>
        <m:r>
          <w:rPr>
            <w:rFonts w:ascii="Cambria Math" w:hAnsi="Cambria Math"/>
          </w:rPr>
          <m:t>u</m:t>
        </m:r>
      </m:oMath>
      <w:r>
        <w:t xml:space="preserve"> is determined by the group hopping pattern and the sequence-shift pattern.  The sequence-shift pattern </w:t>
      </w:r>
      <m:oMath>
        <m:sSub>
          <m:sSubPr>
            <m:ctrlPr>
              <w:rPr>
                <w:rFonts w:ascii="Cambria Math" w:hAnsi="Cambria Math"/>
                <w:i/>
              </w:rPr>
            </m:ctrlPr>
          </m:sSubPr>
          <m:e>
            <m:r>
              <w:rPr>
                <w:rFonts w:ascii="Cambria Math" w:hAnsi="Cambria Math"/>
              </w:rPr>
              <m:t>f</m:t>
            </m:r>
          </m:e>
          <m:sub>
            <m:r>
              <w:rPr>
                <w:rFonts w:ascii="Cambria Math" w:hAnsi="Cambria Math"/>
              </w:rPr>
              <m:t>ss</m:t>
            </m:r>
          </m:sub>
        </m:sSub>
      </m:oMath>
      <w:r>
        <w:t xml:space="preserve"> is directly related with cell ID; and it is also configurable by network.  Therefore, the sequence-group number </w:t>
      </w:r>
      <m:oMath>
        <m:r>
          <w:rPr>
            <w:rFonts w:ascii="Cambria Math" w:hAnsi="Cambria Math"/>
          </w:rPr>
          <m:t>u</m:t>
        </m:r>
      </m:oMath>
      <w:r>
        <w:t xml:space="preserve"> is under control of </w:t>
      </w:r>
      <w:proofErr w:type="spellStart"/>
      <w:r>
        <w:t>eNB</w:t>
      </w:r>
      <w:proofErr w:type="spellEnd"/>
      <w:r>
        <w:t xml:space="preserve"> network.</w:t>
      </w:r>
    </w:p>
    <w:p w:rsidR="00227BDB" w:rsidRPr="00635197" w:rsidRDefault="00716664" w:rsidP="00A0510C">
      <w:pPr>
        <w:jc w:val="both"/>
      </w:pPr>
      <w:r>
        <w:t xml:space="preserve">In summary, </w:t>
      </w:r>
      <w:r w:rsidR="00635197">
        <w:t>t</w:t>
      </w:r>
      <w:r w:rsidR="00227BDB" w:rsidRPr="00635197">
        <w:t xml:space="preserve">he </w:t>
      </w:r>
      <w:r w:rsidRPr="00635197">
        <w:t xml:space="preserve">UL DMRS sequence is based on cyclic extension of </w:t>
      </w:r>
      <w:proofErr w:type="spellStart"/>
      <w:r w:rsidRPr="00635197">
        <w:t>Zadoff</w:t>
      </w:r>
      <w:proofErr w:type="spellEnd"/>
      <w:r w:rsidRPr="00635197">
        <w:t xml:space="preserve">-Chu sequence.  Each DMRS sequence is a cyclic shift (with cyclic </w:t>
      </w:r>
      <w:proofErr w:type="gramStart"/>
      <w:r w:rsidRPr="00635197">
        <w:t xml:space="preserve">shift </w:t>
      </w:r>
      <m:oMath>
        <w:proofErr w:type="gramEnd"/>
        <m:r>
          <m:rPr>
            <m:sty m:val="p"/>
          </m:rPr>
          <w:rPr>
            <w:rFonts w:ascii="Cambria Math" w:hAnsi="Cambria Math"/>
          </w:rPr>
          <m:t>α</m:t>
        </m:r>
      </m:oMath>
      <w:r w:rsidRPr="00635197">
        <w:t>) of a base sequence</w:t>
      </w:r>
      <w:r w:rsidR="00635197">
        <w:t xml:space="preserve">.  </w:t>
      </w:r>
      <w:r w:rsidR="00635197" w:rsidRPr="00635197">
        <w:t>One DMRS base sequence belongs to one of the 30 sequence-groups.</w:t>
      </w:r>
      <w:r w:rsidR="00635197">
        <w:t xml:space="preserve"> </w:t>
      </w:r>
      <w:r w:rsidR="00635197" w:rsidRPr="00635197">
        <w:t>We also observe that:</w:t>
      </w:r>
    </w:p>
    <w:p w:rsidR="00716664" w:rsidRDefault="00635197" w:rsidP="0064053A">
      <w:r>
        <w:rPr>
          <w:b/>
          <w:i/>
        </w:rPr>
        <w:t>Observation 1:</w:t>
      </w:r>
      <w:r>
        <w:rPr>
          <w:b/>
          <w:i/>
        </w:rPr>
        <w:tab/>
      </w:r>
      <w:r w:rsidR="00716664" w:rsidRPr="00227BDB">
        <w:rPr>
          <w:b/>
          <w:i/>
        </w:rPr>
        <w:t>The sequence-group number is related to the cell-ID and it is assigned by the network.</w:t>
      </w:r>
    </w:p>
    <w:p w:rsidR="00716664" w:rsidRPr="00635197" w:rsidRDefault="00716664" w:rsidP="00855A00">
      <w:pPr>
        <w:pStyle w:val="ListParagraph"/>
        <w:ind w:left="0"/>
        <w:rPr>
          <w:rFonts w:asciiTheme="minorHAnsi" w:hAnsiTheme="minorHAnsi"/>
          <w:sz w:val="20"/>
          <w:szCs w:val="20"/>
          <w:lang w:val="en-GB"/>
        </w:rPr>
      </w:pPr>
    </w:p>
    <w:p w:rsidR="00751CAB" w:rsidRDefault="00751CAB" w:rsidP="00751CAB">
      <w:pPr>
        <w:pStyle w:val="Heading4"/>
        <w:rPr>
          <w:kern w:val="2"/>
          <w:lang w:val="en-US"/>
        </w:rPr>
      </w:pPr>
      <w:r>
        <w:rPr>
          <w:kern w:val="2"/>
          <w:lang w:val="en-US"/>
        </w:rPr>
        <w:t>2.1</w:t>
      </w:r>
      <w:r>
        <w:rPr>
          <w:kern w:val="2"/>
          <w:lang w:val="en-US"/>
        </w:rPr>
        <w:tab/>
        <w:t>Cross-correlation property of inter-cell UL DMRS</w:t>
      </w:r>
    </w:p>
    <w:p w:rsidR="00751CAB" w:rsidRPr="00635197" w:rsidRDefault="00751CAB" w:rsidP="00A0510C">
      <w:pPr>
        <w:jc w:val="both"/>
        <w:rPr>
          <w:lang w:val="en-US"/>
        </w:rPr>
      </w:pPr>
      <w:proofErr w:type="spellStart"/>
      <w:r w:rsidRPr="00635197">
        <w:rPr>
          <w:lang w:val="en-US"/>
        </w:rPr>
        <w:t>Zadoff</w:t>
      </w:r>
      <w:proofErr w:type="spellEnd"/>
      <w:r w:rsidRPr="00635197">
        <w:rPr>
          <w:lang w:val="en-US"/>
        </w:rPr>
        <w:t>-Chu sequence has very good cross-correlation property.  The cross-correlation of two different base sequences typically has relatively lo</w:t>
      </w:r>
      <w:r w:rsidR="004532D2" w:rsidRPr="00635197">
        <w:rPr>
          <w:lang w:val="en-US"/>
        </w:rPr>
        <w:t>w but still non-zero values.  However</w:t>
      </w:r>
      <w:r w:rsidRPr="00635197">
        <w:rPr>
          <w:lang w:val="en-US"/>
        </w:rPr>
        <w:t xml:space="preserve">, the DMRS sequences of different cyclic shifts from the same base sequence </w:t>
      </w:r>
      <w:r w:rsidR="004532D2" w:rsidRPr="00635197">
        <w:rPr>
          <w:lang w:val="en-US"/>
        </w:rPr>
        <w:t>can be</w:t>
      </w:r>
      <w:r w:rsidRPr="00635197">
        <w:rPr>
          <w:lang w:val="en-US"/>
        </w:rPr>
        <w:t xml:space="preserve"> completely orthogonal; meaning that the cross-correlation between two DMRS sequences is zero.  </w:t>
      </w:r>
      <w:r w:rsidR="004532D2" w:rsidRPr="00635197">
        <w:rPr>
          <w:lang w:val="en-US"/>
        </w:rPr>
        <w:t xml:space="preserve">Usually there are 12 orthogonal DMRS, given that the cyclic </w:t>
      </w:r>
      <w:proofErr w:type="gramStart"/>
      <w:r w:rsidR="004532D2" w:rsidRPr="00635197">
        <w:rPr>
          <w:lang w:val="en-US"/>
        </w:rPr>
        <w:t xml:space="preserve">shift </w:t>
      </w:r>
      <m:oMath>
        <w:proofErr w:type="gramEnd"/>
        <m:r>
          <w:rPr>
            <w:rFonts w:ascii="Cambria Math" w:hAnsi="Cambria Math"/>
            <w:lang w:val="en-US"/>
          </w:rPr>
          <m:t>α=mπ/6</m:t>
        </m:r>
      </m:oMath>
      <w:r w:rsidR="004532D2" w:rsidRPr="00635197">
        <w:rPr>
          <w:lang w:val="en-US"/>
        </w:rPr>
        <w:t xml:space="preserve">, for </w:t>
      </w:r>
      <m:oMath>
        <m:r>
          <w:rPr>
            <w:rFonts w:ascii="Cambria Math" w:hAnsi="Cambria Math"/>
            <w:lang w:val="en-US"/>
          </w:rPr>
          <m:t>m={0,⋯, 11}</m:t>
        </m:r>
      </m:oMath>
      <w:r w:rsidR="004532D2" w:rsidRPr="00635197">
        <w:rPr>
          <w:lang w:val="en-US"/>
        </w:rPr>
        <w:t>.</w:t>
      </w:r>
    </w:p>
    <w:p w:rsidR="004532D2" w:rsidRPr="00635197" w:rsidRDefault="004532D2" w:rsidP="00A0510C">
      <w:pPr>
        <w:jc w:val="both"/>
        <w:rPr>
          <w:lang w:val="en-US"/>
        </w:rPr>
      </w:pPr>
      <w:r w:rsidRPr="00635197">
        <w:rPr>
          <w:lang w:val="en-US"/>
        </w:rPr>
        <w:t>The perfect DMRS cross-correlation indicates that there will be no DMRS interference over an AWGN or frequency non-selective channel.  For UL IRC algorithm, where channel estimation is based on the DMRS symbol, this ensures good channel estimation performance.</w:t>
      </w:r>
    </w:p>
    <w:p w:rsidR="004532D2" w:rsidRPr="00635197" w:rsidRDefault="004532D2" w:rsidP="00A0510C">
      <w:pPr>
        <w:jc w:val="both"/>
        <w:rPr>
          <w:lang w:val="en-US"/>
        </w:rPr>
      </w:pPr>
      <w:r w:rsidRPr="00635197">
        <w:rPr>
          <w:lang w:val="en-US"/>
        </w:rPr>
        <w:t xml:space="preserve">Since the DMRS sequence-group number </w:t>
      </w:r>
      <m:oMath>
        <m:r>
          <w:rPr>
            <w:rFonts w:ascii="Cambria Math" w:hAnsi="Cambria Math"/>
            <w:lang w:val="en-US"/>
          </w:rPr>
          <m:t>u</m:t>
        </m:r>
      </m:oMath>
      <w:r w:rsidRPr="00635197">
        <w:rPr>
          <w:lang w:val="en-US"/>
        </w:rPr>
        <w:t xml:space="preserve"> is controlled by the network, </w:t>
      </w:r>
      <w:r w:rsidR="00D065C8" w:rsidRPr="00635197">
        <w:rPr>
          <w:lang w:val="en-US"/>
        </w:rPr>
        <w:t xml:space="preserve">with cell planning, </w:t>
      </w:r>
      <w:r w:rsidRPr="00635197">
        <w:rPr>
          <w:lang w:val="en-US"/>
        </w:rPr>
        <w:t>the network can ensure that</w:t>
      </w:r>
    </w:p>
    <w:p w:rsidR="004532D2" w:rsidRPr="00635197" w:rsidRDefault="00D065C8" w:rsidP="00A0510C">
      <w:pPr>
        <w:pStyle w:val="ListParagraph"/>
        <w:numPr>
          <w:ilvl w:val="0"/>
          <w:numId w:val="9"/>
        </w:numPr>
        <w:jc w:val="both"/>
        <w:rPr>
          <w:sz w:val="20"/>
          <w:szCs w:val="20"/>
        </w:rPr>
      </w:pPr>
      <w:r w:rsidRPr="00635197">
        <w:rPr>
          <w:sz w:val="20"/>
          <w:szCs w:val="20"/>
        </w:rPr>
        <w:t>The sequence-group for PUSCH (with cell-ID and sequence-shift pattern) can be kept same for neighbor cells.</w:t>
      </w:r>
    </w:p>
    <w:p w:rsidR="00D065C8" w:rsidRPr="00635197" w:rsidRDefault="00D065C8" w:rsidP="00A0510C">
      <w:pPr>
        <w:pStyle w:val="ListParagraph"/>
        <w:numPr>
          <w:ilvl w:val="0"/>
          <w:numId w:val="9"/>
        </w:numPr>
        <w:jc w:val="both"/>
        <w:rPr>
          <w:sz w:val="20"/>
          <w:szCs w:val="20"/>
        </w:rPr>
      </w:pPr>
      <w:r w:rsidRPr="00635197">
        <w:rPr>
          <w:sz w:val="20"/>
          <w:szCs w:val="20"/>
        </w:rPr>
        <w:t>If sequence-group hopping is enabled, the cell-ID of neighbor cells can be configured so that the same group-hopping pattern is used for neighbor cells.</w:t>
      </w:r>
    </w:p>
    <w:p w:rsidR="00A0510C" w:rsidRDefault="00A0510C" w:rsidP="00A0510C">
      <w:pPr>
        <w:jc w:val="both"/>
        <w:rPr>
          <w:lang w:val="en-US"/>
        </w:rPr>
      </w:pPr>
    </w:p>
    <w:p w:rsidR="00751CAB" w:rsidRPr="00635197" w:rsidRDefault="00D065C8" w:rsidP="00A0510C">
      <w:pPr>
        <w:jc w:val="both"/>
        <w:rPr>
          <w:lang w:val="en-US"/>
        </w:rPr>
      </w:pPr>
      <w:r w:rsidRPr="00635197">
        <w:rPr>
          <w:lang w:val="en-US"/>
        </w:rPr>
        <w:t xml:space="preserve">However, </w:t>
      </w:r>
      <w:r w:rsidR="00635197" w:rsidRPr="00635197">
        <w:rPr>
          <w:lang w:val="en-US"/>
        </w:rPr>
        <w:t xml:space="preserve">for some network scenarios, </w:t>
      </w:r>
      <w:r w:rsidR="006B491D" w:rsidRPr="00635197">
        <w:rPr>
          <w:lang w:val="en-US"/>
        </w:rPr>
        <w:t xml:space="preserve">different sequence-group numbers may be applied for neighbor cells.  </w:t>
      </w:r>
      <w:r w:rsidR="00BA2CD8" w:rsidRPr="00635197">
        <w:rPr>
          <w:lang w:val="en-US"/>
        </w:rPr>
        <w:t>Different sequence-group numbers may be assigned for neighbor cells.</w:t>
      </w:r>
      <w:r w:rsidR="00635197">
        <w:rPr>
          <w:lang w:val="en-US"/>
        </w:rPr>
        <w:t xml:space="preserve">  </w:t>
      </w:r>
    </w:p>
    <w:p w:rsidR="00BA2CD8" w:rsidRPr="00635197" w:rsidRDefault="00540A73" w:rsidP="00A0510C">
      <w:pPr>
        <w:ind w:left="1440" w:hanging="1440"/>
        <w:jc w:val="both"/>
        <w:rPr>
          <w:b/>
          <w:i/>
          <w:lang w:val="en-US"/>
        </w:rPr>
      </w:pPr>
      <w:r w:rsidRPr="00635197">
        <w:rPr>
          <w:b/>
          <w:i/>
          <w:lang w:val="en-US"/>
        </w:rPr>
        <w:t>Proposal 1:</w:t>
      </w:r>
      <w:r w:rsidRPr="00635197">
        <w:rPr>
          <w:b/>
          <w:i/>
          <w:lang w:val="en-US"/>
        </w:rPr>
        <w:tab/>
        <w:t>For homogenous network scenario, use same sequence-group number for serving and interfering cell</w:t>
      </w:r>
      <w:r w:rsidR="00635197">
        <w:rPr>
          <w:b/>
          <w:i/>
          <w:lang w:val="en-US"/>
        </w:rPr>
        <w:t xml:space="preserve"> DMRS.</w:t>
      </w:r>
    </w:p>
    <w:p w:rsidR="00540A73" w:rsidRPr="00635197" w:rsidRDefault="00540A73" w:rsidP="00A0510C">
      <w:pPr>
        <w:jc w:val="both"/>
        <w:rPr>
          <w:lang w:val="en-US"/>
        </w:rPr>
      </w:pPr>
      <w:r w:rsidRPr="00635197">
        <w:rPr>
          <w:b/>
          <w:i/>
          <w:lang w:val="en-US"/>
        </w:rPr>
        <w:t>Proposal 2:</w:t>
      </w:r>
      <w:r w:rsidRPr="00635197">
        <w:rPr>
          <w:b/>
          <w:i/>
          <w:lang w:val="en-US"/>
        </w:rPr>
        <w:tab/>
        <w:t xml:space="preserve">For het-net scenario, use different sequence-group number for </w:t>
      </w:r>
      <w:r w:rsidR="00635197">
        <w:rPr>
          <w:b/>
          <w:i/>
          <w:lang w:val="en-US"/>
        </w:rPr>
        <w:t>serving and interfering cell DMRS.</w:t>
      </w:r>
    </w:p>
    <w:p w:rsidR="00D065C8" w:rsidRPr="00635197" w:rsidRDefault="00D065C8" w:rsidP="0064053A">
      <w:pPr>
        <w:rPr>
          <w:lang w:val="en-US"/>
        </w:rPr>
      </w:pPr>
    </w:p>
    <w:p w:rsidR="003D1A7A" w:rsidRDefault="00540A73" w:rsidP="003D1A7A">
      <w:pPr>
        <w:pStyle w:val="Heading3"/>
        <w:jc w:val="both"/>
        <w:rPr>
          <w:kern w:val="2"/>
          <w:lang w:val="en-US"/>
        </w:rPr>
      </w:pPr>
      <w:r>
        <w:rPr>
          <w:kern w:val="2"/>
          <w:lang w:val="en-US"/>
        </w:rPr>
        <w:t>3</w:t>
      </w:r>
      <w:r w:rsidR="003D1A7A">
        <w:rPr>
          <w:kern w:val="2"/>
          <w:lang w:val="en-US"/>
        </w:rPr>
        <w:tab/>
      </w:r>
      <w:r>
        <w:rPr>
          <w:kern w:val="2"/>
          <w:lang w:val="en-US"/>
        </w:rPr>
        <w:t>Conclusions</w:t>
      </w:r>
    </w:p>
    <w:p w:rsidR="00635197" w:rsidRPr="00635197" w:rsidRDefault="00635197" w:rsidP="00635197">
      <w:r>
        <w:rPr>
          <w:lang w:val="en-US"/>
        </w:rPr>
        <w:t xml:space="preserve">This contribution provides some analysis on the DMRS selection for MMSE-IRC.  </w:t>
      </w:r>
      <w:r>
        <w:t>In summary, t</w:t>
      </w:r>
      <w:r w:rsidRPr="00635197">
        <w:t xml:space="preserve">he UL DMRS sequence is based on cyclic extension of </w:t>
      </w:r>
      <w:proofErr w:type="spellStart"/>
      <w:r w:rsidRPr="00635197">
        <w:t>Zadoff</w:t>
      </w:r>
      <w:proofErr w:type="spellEnd"/>
      <w:r w:rsidRPr="00635197">
        <w:t xml:space="preserve">-Chu sequence.  Each DMRS sequence is a cyclic shift (with cyclic </w:t>
      </w:r>
      <w:proofErr w:type="gramStart"/>
      <w:r w:rsidRPr="00635197">
        <w:t xml:space="preserve">shift </w:t>
      </w:r>
      <m:oMath>
        <w:proofErr w:type="gramEnd"/>
        <m:r>
          <m:rPr>
            <m:sty m:val="p"/>
          </m:rPr>
          <w:rPr>
            <w:rFonts w:ascii="Cambria Math" w:hAnsi="Cambria Math"/>
          </w:rPr>
          <m:t>α</m:t>
        </m:r>
      </m:oMath>
      <w:r w:rsidRPr="00635197">
        <w:t>) of a base sequence</w:t>
      </w:r>
      <w:r>
        <w:t xml:space="preserve">.  </w:t>
      </w:r>
      <w:r w:rsidRPr="00635197">
        <w:t>One DMRS base sequence belongs to one of the 30 sequence-groups.</w:t>
      </w:r>
      <w:r>
        <w:t xml:space="preserve"> </w:t>
      </w:r>
      <w:r w:rsidRPr="00635197">
        <w:t>We also observe that:</w:t>
      </w:r>
    </w:p>
    <w:p w:rsidR="00635197" w:rsidRDefault="00635197" w:rsidP="00635197">
      <w:r>
        <w:rPr>
          <w:b/>
          <w:i/>
        </w:rPr>
        <w:t>Observation 1:</w:t>
      </w:r>
      <w:r>
        <w:rPr>
          <w:b/>
          <w:i/>
        </w:rPr>
        <w:tab/>
      </w:r>
      <w:r w:rsidRPr="00227BDB">
        <w:rPr>
          <w:b/>
          <w:i/>
        </w:rPr>
        <w:t>The sequence-group number is related to the cell-ID and it is assigned by the network.</w:t>
      </w:r>
    </w:p>
    <w:p w:rsidR="00635197" w:rsidRDefault="002427AF" w:rsidP="00635197">
      <w:r>
        <w:lastRenderedPageBreak/>
        <w:t>Based on the observation, for the MMSE-IRC tests, we propose that</w:t>
      </w:r>
    </w:p>
    <w:p w:rsidR="002427AF" w:rsidRPr="00635197" w:rsidRDefault="002427AF" w:rsidP="00A0510C">
      <w:pPr>
        <w:ind w:left="1440" w:hanging="1440"/>
        <w:rPr>
          <w:b/>
          <w:i/>
          <w:lang w:val="en-US"/>
        </w:rPr>
      </w:pPr>
      <w:r w:rsidRPr="00635197">
        <w:rPr>
          <w:b/>
          <w:i/>
          <w:lang w:val="en-US"/>
        </w:rPr>
        <w:t>Proposal 1:</w:t>
      </w:r>
      <w:r w:rsidRPr="00635197">
        <w:rPr>
          <w:b/>
          <w:i/>
          <w:lang w:val="en-US"/>
        </w:rPr>
        <w:tab/>
        <w:t>For homogenous network scenario, use same sequence-group number for serving and interfering cell</w:t>
      </w:r>
      <w:r>
        <w:rPr>
          <w:b/>
          <w:i/>
          <w:lang w:val="en-US"/>
        </w:rPr>
        <w:t xml:space="preserve"> DMRS.</w:t>
      </w:r>
    </w:p>
    <w:p w:rsidR="002427AF" w:rsidRPr="00635197" w:rsidRDefault="002427AF" w:rsidP="002427AF">
      <w:pPr>
        <w:rPr>
          <w:lang w:val="en-US"/>
        </w:rPr>
      </w:pPr>
      <w:r w:rsidRPr="00635197">
        <w:rPr>
          <w:b/>
          <w:i/>
          <w:lang w:val="en-US"/>
        </w:rPr>
        <w:t>Proposal 2:</w:t>
      </w:r>
      <w:r w:rsidRPr="00635197">
        <w:rPr>
          <w:b/>
          <w:i/>
          <w:lang w:val="en-US"/>
        </w:rPr>
        <w:tab/>
        <w:t xml:space="preserve">For het-net scenario, use different sequence-group number for </w:t>
      </w:r>
      <w:r>
        <w:rPr>
          <w:b/>
          <w:i/>
          <w:lang w:val="en-US"/>
        </w:rPr>
        <w:t>serving and interfering cell DMRS.</w:t>
      </w:r>
    </w:p>
    <w:p w:rsidR="002427AF" w:rsidRPr="002427AF" w:rsidRDefault="002427AF" w:rsidP="00635197">
      <w:pPr>
        <w:rPr>
          <w:lang w:val="en-US"/>
        </w:rPr>
      </w:pPr>
    </w:p>
    <w:p w:rsidR="00806888" w:rsidRDefault="00806888" w:rsidP="00DC38A8">
      <w:pPr>
        <w:pStyle w:val="Heading1"/>
        <w:jc w:val="both"/>
        <w:rPr>
          <w:lang w:val="en-US"/>
        </w:rPr>
      </w:pPr>
      <w:r>
        <w:rPr>
          <w:rFonts w:hint="eastAsia"/>
          <w:lang w:val="en-US"/>
        </w:rPr>
        <w:t>Reference</w:t>
      </w:r>
    </w:p>
    <w:p w:rsidR="008228BB" w:rsidRDefault="008228BB" w:rsidP="00DC38A8">
      <w:pPr>
        <w:ind w:left="720" w:hanging="720"/>
        <w:jc w:val="both"/>
        <w:rPr>
          <w:lang w:val="en-US"/>
        </w:rPr>
      </w:pPr>
      <w:r>
        <w:rPr>
          <w:lang w:val="en-US"/>
        </w:rPr>
        <w:t>[1]</w:t>
      </w:r>
      <w:r>
        <w:rPr>
          <w:lang w:val="en-US"/>
        </w:rPr>
        <w:tab/>
        <w:t>RP-142223</w:t>
      </w:r>
      <w:r>
        <w:rPr>
          <w:lang w:val="en-US"/>
        </w:rPr>
        <w:tab/>
      </w:r>
      <w:r w:rsidR="00FB4DBB">
        <w:rPr>
          <w:lang w:val="en-US"/>
        </w:rPr>
        <w:t>“</w:t>
      </w:r>
      <w:r w:rsidRPr="008228BB">
        <w:rPr>
          <w:lang w:val="en-US"/>
        </w:rPr>
        <w:t>New WI on performance requirements of MMSE-IRC receiver for LTE BS</w:t>
      </w:r>
      <w:r w:rsidR="00FB4DBB">
        <w:rPr>
          <w:lang w:val="en-US"/>
        </w:rPr>
        <w:t>”</w:t>
      </w:r>
      <w:r>
        <w:rPr>
          <w:lang w:val="en-US"/>
        </w:rPr>
        <w:t>, China Telecom, RAN #66, Dec 2014</w:t>
      </w:r>
    </w:p>
    <w:p w:rsidR="004217DF" w:rsidRDefault="004217DF" w:rsidP="00DC38A8">
      <w:pPr>
        <w:ind w:left="720" w:hanging="720"/>
        <w:jc w:val="both"/>
        <w:rPr>
          <w:lang w:val="en-US"/>
        </w:rPr>
      </w:pPr>
      <w:r>
        <w:rPr>
          <w:lang w:val="en-US"/>
        </w:rPr>
        <w:t>[2]</w:t>
      </w:r>
      <w:r>
        <w:rPr>
          <w:lang w:val="en-US"/>
        </w:rPr>
        <w:tab/>
        <w:t>R4-153669</w:t>
      </w:r>
      <w:r>
        <w:rPr>
          <w:lang w:val="en-US"/>
        </w:rPr>
        <w:tab/>
        <w:t xml:space="preserve">“TP on link level performance evaluation”, </w:t>
      </w:r>
      <w:proofErr w:type="spellStart"/>
      <w:r w:rsidRPr="004217DF">
        <w:rPr>
          <w:lang w:val="en-US"/>
        </w:rPr>
        <w:t>Huawei</w:t>
      </w:r>
      <w:proofErr w:type="spellEnd"/>
      <w:r w:rsidRPr="004217DF">
        <w:rPr>
          <w:lang w:val="en-US"/>
        </w:rPr>
        <w:t>, China Telecom, ZTE, Samsung, Nokia networks, Alcatel-Lucent</w:t>
      </w:r>
      <w:r>
        <w:rPr>
          <w:lang w:val="en-US"/>
        </w:rPr>
        <w:t>, RAN #75, May 2015</w:t>
      </w:r>
    </w:p>
    <w:p w:rsidR="00C33EA4" w:rsidRDefault="00C33EA4" w:rsidP="00DC38A8">
      <w:pPr>
        <w:ind w:left="720" w:hanging="720"/>
        <w:jc w:val="both"/>
        <w:rPr>
          <w:lang w:val="en-US"/>
        </w:rPr>
      </w:pPr>
      <w:r>
        <w:rPr>
          <w:lang w:val="en-US"/>
        </w:rPr>
        <w:t>[3]</w:t>
      </w:r>
      <w:r>
        <w:rPr>
          <w:lang w:val="en-US"/>
        </w:rPr>
        <w:tab/>
        <w:t>R4-155202</w:t>
      </w:r>
      <w:r>
        <w:rPr>
          <w:lang w:val="en-US"/>
        </w:rPr>
        <w:tab/>
        <w:t xml:space="preserve">“Meeting minutes for BS MMSE-IRC ad hoc”, </w:t>
      </w:r>
      <w:proofErr w:type="spellStart"/>
      <w:r>
        <w:rPr>
          <w:lang w:val="en-US"/>
        </w:rPr>
        <w:t>Huawei</w:t>
      </w:r>
      <w:proofErr w:type="spellEnd"/>
      <w:r>
        <w:rPr>
          <w:lang w:val="en-US"/>
        </w:rPr>
        <w:t>, China Telecom, RAN4 #76, Aug 2015</w:t>
      </w:r>
    </w:p>
    <w:p w:rsidR="005365E2" w:rsidRDefault="005365E2" w:rsidP="00DC38A8">
      <w:pPr>
        <w:ind w:left="720" w:hanging="720"/>
        <w:jc w:val="both"/>
        <w:rPr>
          <w:lang w:val="en-US"/>
        </w:rPr>
      </w:pPr>
      <w:r>
        <w:rPr>
          <w:lang w:val="en-US"/>
        </w:rPr>
        <w:t>[4]</w:t>
      </w:r>
      <w:r>
        <w:rPr>
          <w:lang w:val="en-US"/>
        </w:rPr>
        <w:tab/>
        <w:t>3GPP TS 36.211</w:t>
      </w:r>
    </w:p>
    <w:p w:rsidR="00C33EA4" w:rsidRDefault="00C33EA4" w:rsidP="00DC38A8">
      <w:pPr>
        <w:ind w:left="720" w:hanging="720"/>
        <w:jc w:val="both"/>
        <w:rPr>
          <w:lang w:val="en-US"/>
        </w:rPr>
      </w:pPr>
    </w:p>
    <w:p w:rsidR="00707B12" w:rsidRDefault="00707B12" w:rsidP="00563EF0">
      <w:pPr>
        <w:ind w:left="720" w:hanging="720"/>
        <w:jc w:val="both"/>
        <w:rPr>
          <w:lang w:val="en-US"/>
        </w:rPr>
      </w:pPr>
    </w:p>
    <w:sectPr w:rsidR="00707B12" w:rsidSect="00D50E25">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4BD" w:rsidRDefault="00F844BD" w:rsidP="0099206E">
      <w:r>
        <w:separator/>
      </w:r>
    </w:p>
  </w:endnote>
  <w:endnote w:type="continuationSeparator" w:id="0">
    <w:p w:rsidR="00F844BD" w:rsidRDefault="00F844BD" w:rsidP="00992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4BD" w:rsidRDefault="00F844BD" w:rsidP="0099206E">
      <w:r>
        <w:separator/>
      </w:r>
    </w:p>
  </w:footnote>
  <w:footnote w:type="continuationSeparator" w:id="0">
    <w:p w:rsidR="00F844BD" w:rsidRDefault="00F844BD"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004E43"/>
    <w:multiLevelType w:val="hybridMultilevel"/>
    <w:tmpl w:val="4350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306C14"/>
    <w:multiLevelType w:val="hybridMultilevel"/>
    <w:tmpl w:val="04046E0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38A297E"/>
    <w:multiLevelType w:val="hybridMultilevel"/>
    <w:tmpl w:val="6AB631FC"/>
    <w:lvl w:ilvl="0" w:tplc="5E7E6C9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7">
    <w:nsid w:val="62B27FFE"/>
    <w:multiLevelType w:val="hybridMultilevel"/>
    <w:tmpl w:val="BD68EDFC"/>
    <w:lvl w:ilvl="0" w:tplc="32A0837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BA6553"/>
    <w:multiLevelType w:val="hybridMultilevel"/>
    <w:tmpl w:val="B7F4B828"/>
    <w:lvl w:ilvl="0" w:tplc="7C1C9FEE">
      <w:start w:val="1"/>
      <w:numFmt w:val="bullet"/>
      <w:lvlText w:val="•"/>
      <w:lvlJc w:val="left"/>
      <w:pPr>
        <w:tabs>
          <w:tab w:val="num" w:pos="720"/>
        </w:tabs>
        <w:ind w:left="720" w:hanging="360"/>
      </w:pPr>
      <w:rPr>
        <w:rFonts w:ascii="Arial" w:hAnsi="Arial" w:hint="default"/>
      </w:rPr>
    </w:lvl>
    <w:lvl w:ilvl="1" w:tplc="E8E0747E">
      <w:start w:val="2703"/>
      <w:numFmt w:val="bullet"/>
      <w:lvlText w:val="–"/>
      <w:lvlJc w:val="left"/>
      <w:pPr>
        <w:tabs>
          <w:tab w:val="num" w:pos="1440"/>
        </w:tabs>
        <w:ind w:left="1440" w:hanging="360"/>
      </w:pPr>
      <w:rPr>
        <w:rFonts w:ascii="Arial" w:hAnsi="Arial" w:hint="default"/>
      </w:rPr>
    </w:lvl>
    <w:lvl w:ilvl="2" w:tplc="66D674AE">
      <w:start w:val="2703"/>
      <w:numFmt w:val="bullet"/>
      <w:lvlText w:val=""/>
      <w:lvlJc w:val="left"/>
      <w:pPr>
        <w:tabs>
          <w:tab w:val="num" w:pos="2160"/>
        </w:tabs>
        <w:ind w:left="2160" w:hanging="360"/>
      </w:pPr>
      <w:rPr>
        <w:rFonts w:ascii="Wingdings" w:hAnsi="Wingdings" w:hint="default"/>
      </w:rPr>
    </w:lvl>
    <w:lvl w:ilvl="3" w:tplc="A0C67AFC" w:tentative="1">
      <w:start w:val="1"/>
      <w:numFmt w:val="bullet"/>
      <w:lvlText w:val="•"/>
      <w:lvlJc w:val="left"/>
      <w:pPr>
        <w:tabs>
          <w:tab w:val="num" w:pos="2880"/>
        </w:tabs>
        <w:ind w:left="2880" w:hanging="360"/>
      </w:pPr>
      <w:rPr>
        <w:rFonts w:ascii="Arial" w:hAnsi="Arial" w:hint="default"/>
      </w:rPr>
    </w:lvl>
    <w:lvl w:ilvl="4" w:tplc="72D4C4C6" w:tentative="1">
      <w:start w:val="1"/>
      <w:numFmt w:val="bullet"/>
      <w:lvlText w:val="•"/>
      <w:lvlJc w:val="left"/>
      <w:pPr>
        <w:tabs>
          <w:tab w:val="num" w:pos="3600"/>
        </w:tabs>
        <w:ind w:left="3600" w:hanging="360"/>
      </w:pPr>
      <w:rPr>
        <w:rFonts w:ascii="Arial" w:hAnsi="Arial" w:hint="default"/>
      </w:rPr>
    </w:lvl>
    <w:lvl w:ilvl="5" w:tplc="69FEA5DC" w:tentative="1">
      <w:start w:val="1"/>
      <w:numFmt w:val="bullet"/>
      <w:lvlText w:val="•"/>
      <w:lvlJc w:val="left"/>
      <w:pPr>
        <w:tabs>
          <w:tab w:val="num" w:pos="4320"/>
        </w:tabs>
        <w:ind w:left="4320" w:hanging="360"/>
      </w:pPr>
      <w:rPr>
        <w:rFonts w:ascii="Arial" w:hAnsi="Arial" w:hint="default"/>
      </w:rPr>
    </w:lvl>
    <w:lvl w:ilvl="6" w:tplc="80DE6CBC" w:tentative="1">
      <w:start w:val="1"/>
      <w:numFmt w:val="bullet"/>
      <w:lvlText w:val="•"/>
      <w:lvlJc w:val="left"/>
      <w:pPr>
        <w:tabs>
          <w:tab w:val="num" w:pos="5040"/>
        </w:tabs>
        <w:ind w:left="5040" w:hanging="360"/>
      </w:pPr>
      <w:rPr>
        <w:rFonts w:ascii="Arial" w:hAnsi="Arial" w:hint="default"/>
      </w:rPr>
    </w:lvl>
    <w:lvl w:ilvl="7" w:tplc="D2D034C2" w:tentative="1">
      <w:start w:val="1"/>
      <w:numFmt w:val="bullet"/>
      <w:lvlText w:val="•"/>
      <w:lvlJc w:val="left"/>
      <w:pPr>
        <w:tabs>
          <w:tab w:val="num" w:pos="5760"/>
        </w:tabs>
        <w:ind w:left="5760" w:hanging="360"/>
      </w:pPr>
      <w:rPr>
        <w:rFonts w:ascii="Arial" w:hAnsi="Arial" w:hint="default"/>
      </w:rPr>
    </w:lvl>
    <w:lvl w:ilvl="8" w:tplc="58C884E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1"/>
  </w:num>
  <w:num w:numId="4">
    <w:abstractNumId w:val="5"/>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1"/>
    <w:footnote w:id="0"/>
  </w:footnotePr>
  <w:endnotePr>
    <w:endnote w:id="-1"/>
    <w:endnote w:id="0"/>
  </w:endnotePr>
  <w:compat>
    <w:useFELayout/>
  </w:compat>
  <w:rsids>
    <w:rsidRoot w:val="00C62060"/>
    <w:rsid w:val="00005D55"/>
    <w:rsid w:val="00010225"/>
    <w:rsid w:val="00010256"/>
    <w:rsid w:val="00015187"/>
    <w:rsid w:val="00015AE5"/>
    <w:rsid w:val="00015B1F"/>
    <w:rsid w:val="00016AB9"/>
    <w:rsid w:val="000171ED"/>
    <w:rsid w:val="00017818"/>
    <w:rsid w:val="000216FA"/>
    <w:rsid w:val="000221C4"/>
    <w:rsid w:val="00023174"/>
    <w:rsid w:val="00026B95"/>
    <w:rsid w:val="00031110"/>
    <w:rsid w:val="0003373D"/>
    <w:rsid w:val="00033D97"/>
    <w:rsid w:val="00035F05"/>
    <w:rsid w:val="000401DC"/>
    <w:rsid w:val="0004460E"/>
    <w:rsid w:val="000454CF"/>
    <w:rsid w:val="00051024"/>
    <w:rsid w:val="00052632"/>
    <w:rsid w:val="00052E51"/>
    <w:rsid w:val="0005598F"/>
    <w:rsid w:val="00060D52"/>
    <w:rsid w:val="00066752"/>
    <w:rsid w:val="000701CE"/>
    <w:rsid w:val="00072C39"/>
    <w:rsid w:val="00074B5C"/>
    <w:rsid w:val="00076C8B"/>
    <w:rsid w:val="0008092C"/>
    <w:rsid w:val="000835CC"/>
    <w:rsid w:val="00083D29"/>
    <w:rsid w:val="00084A56"/>
    <w:rsid w:val="00085C29"/>
    <w:rsid w:val="0008720E"/>
    <w:rsid w:val="000917F5"/>
    <w:rsid w:val="0009198D"/>
    <w:rsid w:val="0009423E"/>
    <w:rsid w:val="00094C9F"/>
    <w:rsid w:val="00094EC4"/>
    <w:rsid w:val="00095F8A"/>
    <w:rsid w:val="00097663"/>
    <w:rsid w:val="000979E4"/>
    <w:rsid w:val="000A1243"/>
    <w:rsid w:val="000A2357"/>
    <w:rsid w:val="000A6D6F"/>
    <w:rsid w:val="000B3270"/>
    <w:rsid w:val="000B36A2"/>
    <w:rsid w:val="000B5A58"/>
    <w:rsid w:val="000B7356"/>
    <w:rsid w:val="000C101E"/>
    <w:rsid w:val="000C1AF4"/>
    <w:rsid w:val="000C2A8E"/>
    <w:rsid w:val="000C2CAF"/>
    <w:rsid w:val="000C3136"/>
    <w:rsid w:val="000C38BD"/>
    <w:rsid w:val="000C48F5"/>
    <w:rsid w:val="000C53D0"/>
    <w:rsid w:val="000C68FC"/>
    <w:rsid w:val="000C6B63"/>
    <w:rsid w:val="000C7263"/>
    <w:rsid w:val="000C7AAB"/>
    <w:rsid w:val="000C7E7D"/>
    <w:rsid w:val="000D316D"/>
    <w:rsid w:val="000D453B"/>
    <w:rsid w:val="000D53D3"/>
    <w:rsid w:val="000D66BA"/>
    <w:rsid w:val="000E2274"/>
    <w:rsid w:val="000E4C66"/>
    <w:rsid w:val="000F10FE"/>
    <w:rsid w:val="000F17A3"/>
    <w:rsid w:val="000F182B"/>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957"/>
    <w:rsid w:val="00117C7C"/>
    <w:rsid w:val="001251D9"/>
    <w:rsid w:val="0013043E"/>
    <w:rsid w:val="00130572"/>
    <w:rsid w:val="00132492"/>
    <w:rsid w:val="00132625"/>
    <w:rsid w:val="00132957"/>
    <w:rsid w:val="001338AF"/>
    <w:rsid w:val="001349C6"/>
    <w:rsid w:val="001369BA"/>
    <w:rsid w:val="001409E2"/>
    <w:rsid w:val="00140DDC"/>
    <w:rsid w:val="00141C57"/>
    <w:rsid w:val="00146C6F"/>
    <w:rsid w:val="00150523"/>
    <w:rsid w:val="00152E6C"/>
    <w:rsid w:val="0015394C"/>
    <w:rsid w:val="001573C8"/>
    <w:rsid w:val="00170648"/>
    <w:rsid w:val="001712C3"/>
    <w:rsid w:val="00172B1C"/>
    <w:rsid w:val="001733C9"/>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F75"/>
    <w:rsid w:val="001E430C"/>
    <w:rsid w:val="001E6C54"/>
    <w:rsid w:val="001E7084"/>
    <w:rsid w:val="001E796A"/>
    <w:rsid w:val="001F0A02"/>
    <w:rsid w:val="001F2FA4"/>
    <w:rsid w:val="001F3438"/>
    <w:rsid w:val="001F7AF1"/>
    <w:rsid w:val="0020031D"/>
    <w:rsid w:val="00201700"/>
    <w:rsid w:val="00203A11"/>
    <w:rsid w:val="002051CE"/>
    <w:rsid w:val="00206E2B"/>
    <w:rsid w:val="0020793A"/>
    <w:rsid w:val="002131AC"/>
    <w:rsid w:val="00215315"/>
    <w:rsid w:val="0021724B"/>
    <w:rsid w:val="00221416"/>
    <w:rsid w:val="00221895"/>
    <w:rsid w:val="00221BD9"/>
    <w:rsid w:val="00223FE6"/>
    <w:rsid w:val="00225EE5"/>
    <w:rsid w:val="002276C9"/>
    <w:rsid w:val="00227BDB"/>
    <w:rsid w:val="002321FD"/>
    <w:rsid w:val="0023390F"/>
    <w:rsid w:val="00234960"/>
    <w:rsid w:val="002403D2"/>
    <w:rsid w:val="00240F21"/>
    <w:rsid w:val="0024152E"/>
    <w:rsid w:val="002427AF"/>
    <w:rsid w:val="00243DFF"/>
    <w:rsid w:val="00245A91"/>
    <w:rsid w:val="0025066F"/>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743E"/>
    <w:rsid w:val="002978A5"/>
    <w:rsid w:val="002A0402"/>
    <w:rsid w:val="002A569A"/>
    <w:rsid w:val="002A5F7B"/>
    <w:rsid w:val="002A60FB"/>
    <w:rsid w:val="002B0302"/>
    <w:rsid w:val="002B1763"/>
    <w:rsid w:val="002B48CE"/>
    <w:rsid w:val="002B7B7F"/>
    <w:rsid w:val="002C21BA"/>
    <w:rsid w:val="002C4CA0"/>
    <w:rsid w:val="002C7A6C"/>
    <w:rsid w:val="002C7A74"/>
    <w:rsid w:val="002D0BAC"/>
    <w:rsid w:val="002D15EB"/>
    <w:rsid w:val="002D21B9"/>
    <w:rsid w:val="002D2D2E"/>
    <w:rsid w:val="002D6281"/>
    <w:rsid w:val="002F1A43"/>
    <w:rsid w:val="002F4E33"/>
    <w:rsid w:val="002F70F4"/>
    <w:rsid w:val="002F7218"/>
    <w:rsid w:val="002F77E2"/>
    <w:rsid w:val="0030266B"/>
    <w:rsid w:val="00303CB4"/>
    <w:rsid w:val="0030466E"/>
    <w:rsid w:val="00304DA3"/>
    <w:rsid w:val="003071B4"/>
    <w:rsid w:val="00312BE4"/>
    <w:rsid w:val="00313AD3"/>
    <w:rsid w:val="00317E53"/>
    <w:rsid w:val="003216CA"/>
    <w:rsid w:val="00323484"/>
    <w:rsid w:val="0032368C"/>
    <w:rsid w:val="00323EEF"/>
    <w:rsid w:val="003271FC"/>
    <w:rsid w:val="0033127B"/>
    <w:rsid w:val="00333864"/>
    <w:rsid w:val="00337E10"/>
    <w:rsid w:val="00340FD7"/>
    <w:rsid w:val="003551D9"/>
    <w:rsid w:val="00355B87"/>
    <w:rsid w:val="003578F5"/>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5770"/>
    <w:rsid w:val="00395ADA"/>
    <w:rsid w:val="003A02A4"/>
    <w:rsid w:val="003A2A39"/>
    <w:rsid w:val="003A2C89"/>
    <w:rsid w:val="003A2E1F"/>
    <w:rsid w:val="003B60AB"/>
    <w:rsid w:val="003C6804"/>
    <w:rsid w:val="003C7562"/>
    <w:rsid w:val="003D1A7A"/>
    <w:rsid w:val="003D1AB1"/>
    <w:rsid w:val="003D1F58"/>
    <w:rsid w:val="003D2696"/>
    <w:rsid w:val="003D58E0"/>
    <w:rsid w:val="003D62C4"/>
    <w:rsid w:val="003E0CAD"/>
    <w:rsid w:val="003E0D2E"/>
    <w:rsid w:val="003E12D1"/>
    <w:rsid w:val="003E1375"/>
    <w:rsid w:val="003E2286"/>
    <w:rsid w:val="003E279E"/>
    <w:rsid w:val="003E2FF4"/>
    <w:rsid w:val="003E3AEA"/>
    <w:rsid w:val="003F0B60"/>
    <w:rsid w:val="003F1F33"/>
    <w:rsid w:val="003F60D5"/>
    <w:rsid w:val="003F7C20"/>
    <w:rsid w:val="004013B7"/>
    <w:rsid w:val="004018E5"/>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17DF"/>
    <w:rsid w:val="0042212D"/>
    <w:rsid w:val="00424404"/>
    <w:rsid w:val="00424BBB"/>
    <w:rsid w:val="004256D6"/>
    <w:rsid w:val="00426814"/>
    <w:rsid w:val="00427115"/>
    <w:rsid w:val="004275EF"/>
    <w:rsid w:val="00427A27"/>
    <w:rsid w:val="004312B8"/>
    <w:rsid w:val="00432C79"/>
    <w:rsid w:val="00433DE2"/>
    <w:rsid w:val="00434B3B"/>
    <w:rsid w:val="00436BC7"/>
    <w:rsid w:val="00441571"/>
    <w:rsid w:val="00441C4A"/>
    <w:rsid w:val="00442121"/>
    <w:rsid w:val="00443B01"/>
    <w:rsid w:val="00444593"/>
    <w:rsid w:val="00444804"/>
    <w:rsid w:val="004448E1"/>
    <w:rsid w:val="00444DF3"/>
    <w:rsid w:val="00446BF9"/>
    <w:rsid w:val="00446D24"/>
    <w:rsid w:val="00451173"/>
    <w:rsid w:val="00451714"/>
    <w:rsid w:val="004532D2"/>
    <w:rsid w:val="004564F4"/>
    <w:rsid w:val="004568B9"/>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51F5"/>
    <w:rsid w:val="004A5F75"/>
    <w:rsid w:val="004B20C2"/>
    <w:rsid w:val="004B2294"/>
    <w:rsid w:val="004B54AC"/>
    <w:rsid w:val="004C0C91"/>
    <w:rsid w:val="004C0F6A"/>
    <w:rsid w:val="004C3FF3"/>
    <w:rsid w:val="004D24BE"/>
    <w:rsid w:val="004D5B9A"/>
    <w:rsid w:val="004D65FF"/>
    <w:rsid w:val="004D69E6"/>
    <w:rsid w:val="004D7669"/>
    <w:rsid w:val="004D7A42"/>
    <w:rsid w:val="004E3696"/>
    <w:rsid w:val="004E5382"/>
    <w:rsid w:val="004E7D32"/>
    <w:rsid w:val="004F3119"/>
    <w:rsid w:val="004F4EA5"/>
    <w:rsid w:val="004F53C8"/>
    <w:rsid w:val="004F794F"/>
    <w:rsid w:val="00501EB6"/>
    <w:rsid w:val="005079C6"/>
    <w:rsid w:val="00511100"/>
    <w:rsid w:val="00520448"/>
    <w:rsid w:val="00520B92"/>
    <w:rsid w:val="0052229F"/>
    <w:rsid w:val="005232D2"/>
    <w:rsid w:val="005243BB"/>
    <w:rsid w:val="005267B5"/>
    <w:rsid w:val="0052707C"/>
    <w:rsid w:val="005270E1"/>
    <w:rsid w:val="005275CA"/>
    <w:rsid w:val="005365E2"/>
    <w:rsid w:val="00536F07"/>
    <w:rsid w:val="00540A73"/>
    <w:rsid w:val="0054735E"/>
    <w:rsid w:val="00547D6A"/>
    <w:rsid w:val="0055096E"/>
    <w:rsid w:val="00551A87"/>
    <w:rsid w:val="005524BB"/>
    <w:rsid w:val="00553FA2"/>
    <w:rsid w:val="005551B4"/>
    <w:rsid w:val="00555351"/>
    <w:rsid w:val="0055699C"/>
    <w:rsid w:val="0055757F"/>
    <w:rsid w:val="00563878"/>
    <w:rsid w:val="00563EF0"/>
    <w:rsid w:val="00564A3B"/>
    <w:rsid w:val="00566561"/>
    <w:rsid w:val="00572630"/>
    <w:rsid w:val="005736BF"/>
    <w:rsid w:val="00576392"/>
    <w:rsid w:val="005777DB"/>
    <w:rsid w:val="005806AC"/>
    <w:rsid w:val="00580888"/>
    <w:rsid w:val="00582658"/>
    <w:rsid w:val="005870AF"/>
    <w:rsid w:val="0058728C"/>
    <w:rsid w:val="005923FB"/>
    <w:rsid w:val="00593093"/>
    <w:rsid w:val="00596274"/>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4F"/>
    <w:rsid w:val="005F04F4"/>
    <w:rsid w:val="005F3878"/>
    <w:rsid w:val="005F4786"/>
    <w:rsid w:val="005F4EC3"/>
    <w:rsid w:val="005F7A29"/>
    <w:rsid w:val="00601025"/>
    <w:rsid w:val="0060301D"/>
    <w:rsid w:val="00612E95"/>
    <w:rsid w:val="006138E3"/>
    <w:rsid w:val="00615210"/>
    <w:rsid w:val="00615462"/>
    <w:rsid w:val="00615A02"/>
    <w:rsid w:val="00621F74"/>
    <w:rsid w:val="006246CA"/>
    <w:rsid w:val="00627A04"/>
    <w:rsid w:val="00631DF1"/>
    <w:rsid w:val="00631EB7"/>
    <w:rsid w:val="0063363E"/>
    <w:rsid w:val="006346E2"/>
    <w:rsid w:val="00635197"/>
    <w:rsid w:val="00635B25"/>
    <w:rsid w:val="0063793E"/>
    <w:rsid w:val="00637F4E"/>
    <w:rsid w:val="0064053A"/>
    <w:rsid w:val="00645209"/>
    <w:rsid w:val="00646124"/>
    <w:rsid w:val="00647C44"/>
    <w:rsid w:val="00651661"/>
    <w:rsid w:val="00651E0F"/>
    <w:rsid w:val="00651F67"/>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5D9B"/>
    <w:rsid w:val="00680FF4"/>
    <w:rsid w:val="006847F1"/>
    <w:rsid w:val="00685C91"/>
    <w:rsid w:val="0068719D"/>
    <w:rsid w:val="006A0CE9"/>
    <w:rsid w:val="006A2BD1"/>
    <w:rsid w:val="006A45CC"/>
    <w:rsid w:val="006A5500"/>
    <w:rsid w:val="006A5F32"/>
    <w:rsid w:val="006A6FDC"/>
    <w:rsid w:val="006B0C3E"/>
    <w:rsid w:val="006B0E2D"/>
    <w:rsid w:val="006B109D"/>
    <w:rsid w:val="006B1279"/>
    <w:rsid w:val="006B1AEA"/>
    <w:rsid w:val="006B3AFC"/>
    <w:rsid w:val="006B3E5E"/>
    <w:rsid w:val="006B491D"/>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F137F"/>
    <w:rsid w:val="006F323D"/>
    <w:rsid w:val="006F5F06"/>
    <w:rsid w:val="006F62DF"/>
    <w:rsid w:val="006F6E19"/>
    <w:rsid w:val="006F7E63"/>
    <w:rsid w:val="00705D0E"/>
    <w:rsid w:val="00706880"/>
    <w:rsid w:val="00706B11"/>
    <w:rsid w:val="00707B12"/>
    <w:rsid w:val="0071176D"/>
    <w:rsid w:val="007128A1"/>
    <w:rsid w:val="007132EE"/>
    <w:rsid w:val="00716664"/>
    <w:rsid w:val="0072086B"/>
    <w:rsid w:val="00721AF1"/>
    <w:rsid w:val="0072225B"/>
    <w:rsid w:val="007236F0"/>
    <w:rsid w:val="007240E2"/>
    <w:rsid w:val="007248C3"/>
    <w:rsid w:val="00725AE5"/>
    <w:rsid w:val="00725BE4"/>
    <w:rsid w:val="0072641F"/>
    <w:rsid w:val="00726BCC"/>
    <w:rsid w:val="00731570"/>
    <w:rsid w:val="00736D00"/>
    <w:rsid w:val="00743380"/>
    <w:rsid w:val="00743C02"/>
    <w:rsid w:val="00744F61"/>
    <w:rsid w:val="0075173E"/>
    <w:rsid w:val="00751CAB"/>
    <w:rsid w:val="00752B11"/>
    <w:rsid w:val="00754BC3"/>
    <w:rsid w:val="007555C8"/>
    <w:rsid w:val="007570CA"/>
    <w:rsid w:val="00761670"/>
    <w:rsid w:val="0077433A"/>
    <w:rsid w:val="00775362"/>
    <w:rsid w:val="0077759B"/>
    <w:rsid w:val="00782977"/>
    <w:rsid w:val="007832CA"/>
    <w:rsid w:val="00785B72"/>
    <w:rsid w:val="00787800"/>
    <w:rsid w:val="007878A0"/>
    <w:rsid w:val="007909E3"/>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BA9"/>
    <w:rsid w:val="007D2E73"/>
    <w:rsid w:val="007D2F1B"/>
    <w:rsid w:val="007D3FF2"/>
    <w:rsid w:val="007D40A0"/>
    <w:rsid w:val="007D5150"/>
    <w:rsid w:val="007E4067"/>
    <w:rsid w:val="007E58A4"/>
    <w:rsid w:val="007E7B10"/>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20C5E"/>
    <w:rsid w:val="008215CA"/>
    <w:rsid w:val="00821F0B"/>
    <w:rsid w:val="008228BB"/>
    <w:rsid w:val="008237F3"/>
    <w:rsid w:val="00824C0F"/>
    <w:rsid w:val="00826899"/>
    <w:rsid w:val="00831AA0"/>
    <w:rsid w:val="0083269C"/>
    <w:rsid w:val="00832F3D"/>
    <w:rsid w:val="00833F2F"/>
    <w:rsid w:val="0083544B"/>
    <w:rsid w:val="00836329"/>
    <w:rsid w:val="00837562"/>
    <w:rsid w:val="00837DF2"/>
    <w:rsid w:val="00845520"/>
    <w:rsid w:val="008515A9"/>
    <w:rsid w:val="00854909"/>
    <w:rsid w:val="00855A00"/>
    <w:rsid w:val="00856989"/>
    <w:rsid w:val="0085775F"/>
    <w:rsid w:val="008578E7"/>
    <w:rsid w:val="00860D5D"/>
    <w:rsid w:val="008612B7"/>
    <w:rsid w:val="00863D38"/>
    <w:rsid w:val="00865E30"/>
    <w:rsid w:val="00870A67"/>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7A21"/>
    <w:rsid w:val="008B09EC"/>
    <w:rsid w:val="008B0DFA"/>
    <w:rsid w:val="008B1569"/>
    <w:rsid w:val="008B17C0"/>
    <w:rsid w:val="008B1E4B"/>
    <w:rsid w:val="008B3298"/>
    <w:rsid w:val="008B5B66"/>
    <w:rsid w:val="008B7723"/>
    <w:rsid w:val="008C4CD6"/>
    <w:rsid w:val="008D3074"/>
    <w:rsid w:val="008D4AE1"/>
    <w:rsid w:val="008D5B26"/>
    <w:rsid w:val="008D6AF0"/>
    <w:rsid w:val="008D72F1"/>
    <w:rsid w:val="008E08DA"/>
    <w:rsid w:val="008E2FF9"/>
    <w:rsid w:val="008E60F6"/>
    <w:rsid w:val="008E7FA1"/>
    <w:rsid w:val="008F0D8C"/>
    <w:rsid w:val="008F21CF"/>
    <w:rsid w:val="008F2AEE"/>
    <w:rsid w:val="00900750"/>
    <w:rsid w:val="009020DB"/>
    <w:rsid w:val="00903A0F"/>
    <w:rsid w:val="0090488E"/>
    <w:rsid w:val="00904B2D"/>
    <w:rsid w:val="00904D1A"/>
    <w:rsid w:val="0090662C"/>
    <w:rsid w:val="00911731"/>
    <w:rsid w:val="00911D78"/>
    <w:rsid w:val="00913C47"/>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72CF6"/>
    <w:rsid w:val="00973A6A"/>
    <w:rsid w:val="00976F0A"/>
    <w:rsid w:val="009800AB"/>
    <w:rsid w:val="0098150C"/>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CEA"/>
    <w:rsid w:val="009A5684"/>
    <w:rsid w:val="009A5F74"/>
    <w:rsid w:val="009B0C3C"/>
    <w:rsid w:val="009B1150"/>
    <w:rsid w:val="009B416A"/>
    <w:rsid w:val="009B503B"/>
    <w:rsid w:val="009C1F84"/>
    <w:rsid w:val="009C4F07"/>
    <w:rsid w:val="009D0599"/>
    <w:rsid w:val="009D0653"/>
    <w:rsid w:val="009D1488"/>
    <w:rsid w:val="009D5A59"/>
    <w:rsid w:val="009D6D31"/>
    <w:rsid w:val="009E22B5"/>
    <w:rsid w:val="009E38E5"/>
    <w:rsid w:val="009E450D"/>
    <w:rsid w:val="009E5C50"/>
    <w:rsid w:val="009F0450"/>
    <w:rsid w:val="009F38FF"/>
    <w:rsid w:val="009F5F42"/>
    <w:rsid w:val="009F7536"/>
    <w:rsid w:val="00A009B7"/>
    <w:rsid w:val="00A03B29"/>
    <w:rsid w:val="00A03B88"/>
    <w:rsid w:val="00A047E6"/>
    <w:rsid w:val="00A0510C"/>
    <w:rsid w:val="00A05970"/>
    <w:rsid w:val="00A10C74"/>
    <w:rsid w:val="00A10E91"/>
    <w:rsid w:val="00A11671"/>
    <w:rsid w:val="00A12712"/>
    <w:rsid w:val="00A13317"/>
    <w:rsid w:val="00A13968"/>
    <w:rsid w:val="00A15BF9"/>
    <w:rsid w:val="00A16C45"/>
    <w:rsid w:val="00A20CB9"/>
    <w:rsid w:val="00A24007"/>
    <w:rsid w:val="00A265EF"/>
    <w:rsid w:val="00A300BB"/>
    <w:rsid w:val="00A331AE"/>
    <w:rsid w:val="00A33C3A"/>
    <w:rsid w:val="00A34203"/>
    <w:rsid w:val="00A35529"/>
    <w:rsid w:val="00A36A32"/>
    <w:rsid w:val="00A376A2"/>
    <w:rsid w:val="00A4352D"/>
    <w:rsid w:val="00A43E6F"/>
    <w:rsid w:val="00A446B1"/>
    <w:rsid w:val="00A47222"/>
    <w:rsid w:val="00A4738C"/>
    <w:rsid w:val="00A50A38"/>
    <w:rsid w:val="00A5258F"/>
    <w:rsid w:val="00A526C5"/>
    <w:rsid w:val="00A6159A"/>
    <w:rsid w:val="00A621C6"/>
    <w:rsid w:val="00A630B1"/>
    <w:rsid w:val="00A6485A"/>
    <w:rsid w:val="00A64CD6"/>
    <w:rsid w:val="00A651AD"/>
    <w:rsid w:val="00A71E70"/>
    <w:rsid w:val="00A802FB"/>
    <w:rsid w:val="00A81ECC"/>
    <w:rsid w:val="00A82251"/>
    <w:rsid w:val="00A8257E"/>
    <w:rsid w:val="00A8292D"/>
    <w:rsid w:val="00A8477E"/>
    <w:rsid w:val="00A86000"/>
    <w:rsid w:val="00A87A81"/>
    <w:rsid w:val="00A9274F"/>
    <w:rsid w:val="00A93827"/>
    <w:rsid w:val="00A93C9A"/>
    <w:rsid w:val="00A953EC"/>
    <w:rsid w:val="00A95A1B"/>
    <w:rsid w:val="00AA0E6F"/>
    <w:rsid w:val="00AA4E99"/>
    <w:rsid w:val="00AA6815"/>
    <w:rsid w:val="00AA68FD"/>
    <w:rsid w:val="00AB0508"/>
    <w:rsid w:val="00AB1142"/>
    <w:rsid w:val="00AB14E5"/>
    <w:rsid w:val="00AB5E38"/>
    <w:rsid w:val="00AB7B6C"/>
    <w:rsid w:val="00AC0B37"/>
    <w:rsid w:val="00AC28F0"/>
    <w:rsid w:val="00AC3D79"/>
    <w:rsid w:val="00AC4131"/>
    <w:rsid w:val="00AC4470"/>
    <w:rsid w:val="00AC747F"/>
    <w:rsid w:val="00AC7851"/>
    <w:rsid w:val="00AD0509"/>
    <w:rsid w:val="00AD12EB"/>
    <w:rsid w:val="00AD2C4F"/>
    <w:rsid w:val="00AD311D"/>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95E"/>
    <w:rsid w:val="00AF65D9"/>
    <w:rsid w:val="00B02530"/>
    <w:rsid w:val="00B059B8"/>
    <w:rsid w:val="00B07261"/>
    <w:rsid w:val="00B1105B"/>
    <w:rsid w:val="00B11690"/>
    <w:rsid w:val="00B11AF8"/>
    <w:rsid w:val="00B12A71"/>
    <w:rsid w:val="00B134AF"/>
    <w:rsid w:val="00B13E52"/>
    <w:rsid w:val="00B15D8E"/>
    <w:rsid w:val="00B20074"/>
    <w:rsid w:val="00B23263"/>
    <w:rsid w:val="00B278CD"/>
    <w:rsid w:val="00B310CA"/>
    <w:rsid w:val="00B35859"/>
    <w:rsid w:val="00B35CC3"/>
    <w:rsid w:val="00B36CFB"/>
    <w:rsid w:val="00B3715E"/>
    <w:rsid w:val="00B41818"/>
    <w:rsid w:val="00B42CB7"/>
    <w:rsid w:val="00B45465"/>
    <w:rsid w:val="00B51ED7"/>
    <w:rsid w:val="00B52B1C"/>
    <w:rsid w:val="00B54088"/>
    <w:rsid w:val="00B543E2"/>
    <w:rsid w:val="00B60B64"/>
    <w:rsid w:val="00B66ADC"/>
    <w:rsid w:val="00B675BF"/>
    <w:rsid w:val="00B67F4A"/>
    <w:rsid w:val="00B70815"/>
    <w:rsid w:val="00B70A6D"/>
    <w:rsid w:val="00B7213D"/>
    <w:rsid w:val="00B72A0F"/>
    <w:rsid w:val="00B733BB"/>
    <w:rsid w:val="00B76FAA"/>
    <w:rsid w:val="00B77CDD"/>
    <w:rsid w:val="00B80B2E"/>
    <w:rsid w:val="00B81E08"/>
    <w:rsid w:val="00B8470A"/>
    <w:rsid w:val="00B90405"/>
    <w:rsid w:val="00B92CB3"/>
    <w:rsid w:val="00B939B4"/>
    <w:rsid w:val="00B95AF4"/>
    <w:rsid w:val="00B95CA6"/>
    <w:rsid w:val="00B9646E"/>
    <w:rsid w:val="00B96F36"/>
    <w:rsid w:val="00BA0B0A"/>
    <w:rsid w:val="00BA1B0B"/>
    <w:rsid w:val="00BA2CD8"/>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00B"/>
    <w:rsid w:val="00BF32A5"/>
    <w:rsid w:val="00BF3F36"/>
    <w:rsid w:val="00BF4835"/>
    <w:rsid w:val="00BF4C8A"/>
    <w:rsid w:val="00BF69FF"/>
    <w:rsid w:val="00C0209B"/>
    <w:rsid w:val="00C03AC7"/>
    <w:rsid w:val="00C040AA"/>
    <w:rsid w:val="00C05304"/>
    <w:rsid w:val="00C074F9"/>
    <w:rsid w:val="00C15F93"/>
    <w:rsid w:val="00C20912"/>
    <w:rsid w:val="00C250C1"/>
    <w:rsid w:val="00C258F5"/>
    <w:rsid w:val="00C2616C"/>
    <w:rsid w:val="00C2759E"/>
    <w:rsid w:val="00C27E69"/>
    <w:rsid w:val="00C31131"/>
    <w:rsid w:val="00C32529"/>
    <w:rsid w:val="00C33873"/>
    <w:rsid w:val="00C33EA4"/>
    <w:rsid w:val="00C35163"/>
    <w:rsid w:val="00C35B65"/>
    <w:rsid w:val="00C37CF9"/>
    <w:rsid w:val="00C43E41"/>
    <w:rsid w:val="00C45F3B"/>
    <w:rsid w:val="00C518A6"/>
    <w:rsid w:val="00C51927"/>
    <w:rsid w:val="00C54A1E"/>
    <w:rsid w:val="00C55330"/>
    <w:rsid w:val="00C56852"/>
    <w:rsid w:val="00C57758"/>
    <w:rsid w:val="00C60B60"/>
    <w:rsid w:val="00C62060"/>
    <w:rsid w:val="00C625D4"/>
    <w:rsid w:val="00C66061"/>
    <w:rsid w:val="00C67A01"/>
    <w:rsid w:val="00C70FD6"/>
    <w:rsid w:val="00C71F7C"/>
    <w:rsid w:val="00C73B28"/>
    <w:rsid w:val="00C77FA9"/>
    <w:rsid w:val="00C81444"/>
    <w:rsid w:val="00C82382"/>
    <w:rsid w:val="00C82673"/>
    <w:rsid w:val="00C82886"/>
    <w:rsid w:val="00C84000"/>
    <w:rsid w:val="00C90F1D"/>
    <w:rsid w:val="00C92A89"/>
    <w:rsid w:val="00C92C5D"/>
    <w:rsid w:val="00C939EF"/>
    <w:rsid w:val="00C9495F"/>
    <w:rsid w:val="00C94D38"/>
    <w:rsid w:val="00C951BA"/>
    <w:rsid w:val="00C959C2"/>
    <w:rsid w:val="00C95EF5"/>
    <w:rsid w:val="00C96895"/>
    <w:rsid w:val="00C96DF0"/>
    <w:rsid w:val="00C9763B"/>
    <w:rsid w:val="00CA1321"/>
    <w:rsid w:val="00CA37DA"/>
    <w:rsid w:val="00CB12D3"/>
    <w:rsid w:val="00CB3E49"/>
    <w:rsid w:val="00CB552A"/>
    <w:rsid w:val="00CB5E61"/>
    <w:rsid w:val="00CC0A1F"/>
    <w:rsid w:val="00CC0C80"/>
    <w:rsid w:val="00CC1E16"/>
    <w:rsid w:val="00CC2975"/>
    <w:rsid w:val="00CC68BB"/>
    <w:rsid w:val="00CD091C"/>
    <w:rsid w:val="00CD3BB2"/>
    <w:rsid w:val="00CD5641"/>
    <w:rsid w:val="00CD674E"/>
    <w:rsid w:val="00CE0707"/>
    <w:rsid w:val="00CE0C89"/>
    <w:rsid w:val="00CE228D"/>
    <w:rsid w:val="00CE25CE"/>
    <w:rsid w:val="00CE51B6"/>
    <w:rsid w:val="00CE590D"/>
    <w:rsid w:val="00CF1F7C"/>
    <w:rsid w:val="00CF21FF"/>
    <w:rsid w:val="00CF42D1"/>
    <w:rsid w:val="00CF6475"/>
    <w:rsid w:val="00D00C0B"/>
    <w:rsid w:val="00D04761"/>
    <w:rsid w:val="00D065C8"/>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5027F"/>
    <w:rsid w:val="00D50E25"/>
    <w:rsid w:val="00D52B67"/>
    <w:rsid w:val="00D531CB"/>
    <w:rsid w:val="00D54943"/>
    <w:rsid w:val="00D56A52"/>
    <w:rsid w:val="00D60BBA"/>
    <w:rsid w:val="00D62FB4"/>
    <w:rsid w:val="00D6338D"/>
    <w:rsid w:val="00D65269"/>
    <w:rsid w:val="00D67353"/>
    <w:rsid w:val="00D673DB"/>
    <w:rsid w:val="00D703AF"/>
    <w:rsid w:val="00D70BDB"/>
    <w:rsid w:val="00D71203"/>
    <w:rsid w:val="00D71FDB"/>
    <w:rsid w:val="00D71FDE"/>
    <w:rsid w:val="00D72875"/>
    <w:rsid w:val="00D75244"/>
    <w:rsid w:val="00D75751"/>
    <w:rsid w:val="00D816DB"/>
    <w:rsid w:val="00D87356"/>
    <w:rsid w:val="00D87552"/>
    <w:rsid w:val="00D91A32"/>
    <w:rsid w:val="00D92EB1"/>
    <w:rsid w:val="00D92FC6"/>
    <w:rsid w:val="00D9666B"/>
    <w:rsid w:val="00DA29BF"/>
    <w:rsid w:val="00DA3B1C"/>
    <w:rsid w:val="00DA51A7"/>
    <w:rsid w:val="00DA549E"/>
    <w:rsid w:val="00DA5F3B"/>
    <w:rsid w:val="00DB0AC6"/>
    <w:rsid w:val="00DB4DB9"/>
    <w:rsid w:val="00DC0FE8"/>
    <w:rsid w:val="00DC38A8"/>
    <w:rsid w:val="00DC467A"/>
    <w:rsid w:val="00DC4D7C"/>
    <w:rsid w:val="00DC52AA"/>
    <w:rsid w:val="00DC52DA"/>
    <w:rsid w:val="00DC7032"/>
    <w:rsid w:val="00DD014C"/>
    <w:rsid w:val="00DD4A2D"/>
    <w:rsid w:val="00DD50A3"/>
    <w:rsid w:val="00DD6F76"/>
    <w:rsid w:val="00DE0F49"/>
    <w:rsid w:val="00DE4D36"/>
    <w:rsid w:val="00DE6B4B"/>
    <w:rsid w:val="00DE7DCE"/>
    <w:rsid w:val="00DF2859"/>
    <w:rsid w:val="00DF5FC5"/>
    <w:rsid w:val="00DF60D7"/>
    <w:rsid w:val="00DF7966"/>
    <w:rsid w:val="00E02DCA"/>
    <w:rsid w:val="00E03B6F"/>
    <w:rsid w:val="00E1152D"/>
    <w:rsid w:val="00E12197"/>
    <w:rsid w:val="00E1262F"/>
    <w:rsid w:val="00E15D42"/>
    <w:rsid w:val="00E174F3"/>
    <w:rsid w:val="00E203BC"/>
    <w:rsid w:val="00E20DA0"/>
    <w:rsid w:val="00E25879"/>
    <w:rsid w:val="00E26A86"/>
    <w:rsid w:val="00E26B02"/>
    <w:rsid w:val="00E32582"/>
    <w:rsid w:val="00E34130"/>
    <w:rsid w:val="00E34B36"/>
    <w:rsid w:val="00E41928"/>
    <w:rsid w:val="00E41E4F"/>
    <w:rsid w:val="00E444AB"/>
    <w:rsid w:val="00E47C59"/>
    <w:rsid w:val="00E50CC2"/>
    <w:rsid w:val="00E517AC"/>
    <w:rsid w:val="00E51E87"/>
    <w:rsid w:val="00E52817"/>
    <w:rsid w:val="00E52CAA"/>
    <w:rsid w:val="00E541DB"/>
    <w:rsid w:val="00E54777"/>
    <w:rsid w:val="00E6096C"/>
    <w:rsid w:val="00E61442"/>
    <w:rsid w:val="00E61FC1"/>
    <w:rsid w:val="00E64869"/>
    <w:rsid w:val="00E64954"/>
    <w:rsid w:val="00E6520C"/>
    <w:rsid w:val="00E66BC3"/>
    <w:rsid w:val="00E7046E"/>
    <w:rsid w:val="00E763DB"/>
    <w:rsid w:val="00E803D5"/>
    <w:rsid w:val="00E806DA"/>
    <w:rsid w:val="00E839B7"/>
    <w:rsid w:val="00E83ADE"/>
    <w:rsid w:val="00E9197C"/>
    <w:rsid w:val="00E9425A"/>
    <w:rsid w:val="00E944AE"/>
    <w:rsid w:val="00E95F9D"/>
    <w:rsid w:val="00E97A59"/>
    <w:rsid w:val="00EA105F"/>
    <w:rsid w:val="00EA1372"/>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4B5B"/>
    <w:rsid w:val="00EC7C71"/>
    <w:rsid w:val="00ED0AD5"/>
    <w:rsid w:val="00ED1271"/>
    <w:rsid w:val="00ED2787"/>
    <w:rsid w:val="00ED56FD"/>
    <w:rsid w:val="00ED7CB3"/>
    <w:rsid w:val="00EE1A7B"/>
    <w:rsid w:val="00EE5134"/>
    <w:rsid w:val="00EE58E5"/>
    <w:rsid w:val="00EE5909"/>
    <w:rsid w:val="00EF08BE"/>
    <w:rsid w:val="00EF1AF0"/>
    <w:rsid w:val="00EF34CF"/>
    <w:rsid w:val="00EF78D5"/>
    <w:rsid w:val="00EF7D55"/>
    <w:rsid w:val="00F02350"/>
    <w:rsid w:val="00F023EE"/>
    <w:rsid w:val="00F0319F"/>
    <w:rsid w:val="00F0382D"/>
    <w:rsid w:val="00F05602"/>
    <w:rsid w:val="00F0597A"/>
    <w:rsid w:val="00F05EB3"/>
    <w:rsid w:val="00F06AAC"/>
    <w:rsid w:val="00F079CC"/>
    <w:rsid w:val="00F177C5"/>
    <w:rsid w:val="00F20ACE"/>
    <w:rsid w:val="00F21753"/>
    <w:rsid w:val="00F23A95"/>
    <w:rsid w:val="00F24743"/>
    <w:rsid w:val="00F25C86"/>
    <w:rsid w:val="00F2700A"/>
    <w:rsid w:val="00F36C6B"/>
    <w:rsid w:val="00F408EA"/>
    <w:rsid w:val="00F44013"/>
    <w:rsid w:val="00F440F0"/>
    <w:rsid w:val="00F45C26"/>
    <w:rsid w:val="00F51F0C"/>
    <w:rsid w:val="00F53343"/>
    <w:rsid w:val="00F53889"/>
    <w:rsid w:val="00F56B5A"/>
    <w:rsid w:val="00F57A04"/>
    <w:rsid w:val="00F62175"/>
    <w:rsid w:val="00F63287"/>
    <w:rsid w:val="00F65B18"/>
    <w:rsid w:val="00F666FC"/>
    <w:rsid w:val="00F715E8"/>
    <w:rsid w:val="00F71E80"/>
    <w:rsid w:val="00F725E0"/>
    <w:rsid w:val="00F72D18"/>
    <w:rsid w:val="00F73D3C"/>
    <w:rsid w:val="00F8390D"/>
    <w:rsid w:val="00F83EAD"/>
    <w:rsid w:val="00F844BD"/>
    <w:rsid w:val="00F8501F"/>
    <w:rsid w:val="00F91A01"/>
    <w:rsid w:val="00F93043"/>
    <w:rsid w:val="00F937F9"/>
    <w:rsid w:val="00F9530B"/>
    <w:rsid w:val="00F953C0"/>
    <w:rsid w:val="00F95AA7"/>
    <w:rsid w:val="00F975A3"/>
    <w:rsid w:val="00FA3471"/>
    <w:rsid w:val="00FA40AE"/>
    <w:rsid w:val="00FB090B"/>
    <w:rsid w:val="00FB369A"/>
    <w:rsid w:val="00FB4273"/>
    <w:rsid w:val="00FB4DBB"/>
    <w:rsid w:val="00FB5130"/>
    <w:rsid w:val="00FB54C8"/>
    <w:rsid w:val="00FB7254"/>
    <w:rsid w:val="00FC2E08"/>
    <w:rsid w:val="00FC36F1"/>
    <w:rsid w:val="00FC7A12"/>
    <w:rsid w:val="00FD00D5"/>
    <w:rsid w:val="00FD0199"/>
    <w:rsid w:val="00FD42A7"/>
    <w:rsid w:val="00FE08F7"/>
    <w:rsid w:val="00FE1E01"/>
    <w:rsid w:val="00FE26D5"/>
    <w:rsid w:val="00FE3CF0"/>
    <w:rsid w:val="00FE64A1"/>
    <w:rsid w:val="00FE6770"/>
    <w:rsid w:val="00FE6AC4"/>
    <w:rsid w:val="00FF027C"/>
    <w:rsid w:val="00FF02F2"/>
    <w:rsid w:val="00FF0B27"/>
    <w:rsid w:val="00FF0DD5"/>
    <w:rsid w:val="00FF1C02"/>
    <w:rsid w:val="00FF2380"/>
    <w:rsid w:val="00FF23E9"/>
    <w:rsid w:val="00FF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D50E2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50E25"/>
  </w:style>
  <w:style w:type="paragraph" w:customStyle="1" w:styleId="B1">
    <w:name w:val="B1"/>
    <w:basedOn w:val="List"/>
    <w:rsid w:val="00434B3B"/>
  </w:style>
  <w:style w:type="paragraph" w:customStyle="1" w:styleId="00BodyText">
    <w:name w:val="00 BodyText"/>
    <w:basedOn w:val="Normal"/>
    <w:rsid w:val="00D50E25"/>
    <w:pPr>
      <w:spacing w:after="220"/>
    </w:pPr>
    <w:rPr>
      <w:rFonts w:ascii="Arial" w:hAnsi="Arial"/>
      <w:sz w:val="22"/>
      <w:lang w:val="en-US" w:eastAsia="en-US"/>
    </w:rPr>
  </w:style>
  <w:style w:type="paragraph" w:customStyle="1" w:styleId="a">
    <w:name w:val="??"/>
    <w:rsid w:val="00D50E25"/>
    <w:pPr>
      <w:widowControl w:val="0"/>
    </w:pPr>
    <w:rPr>
      <w:lang w:eastAsia="en-US"/>
    </w:rPr>
  </w:style>
  <w:style w:type="paragraph" w:customStyle="1" w:styleId="2">
    <w:name w:val="??? 2"/>
    <w:basedOn w:val="a"/>
    <w:next w:val="a"/>
    <w:rsid w:val="00D50E25"/>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customStyle="1" w:styleId="TAJ">
    <w:name w:val="TAJ"/>
    <w:basedOn w:val="TH"/>
    <w:rsid w:val="005365E2"/>
    <w:pPr>
      <w:overflowPunct/>
      <w:autoSpaceDE/>
      <w:autoSpaceDN/>
      <w:adjustRightInd/>
      <w:textAlignment w:val="auto"/>
    </w:pPr>
    <w:rPr>
      <w:rFonts w:eastAsia="Times New Roman"/>
      <w:lang w:eastAsia="en-US"/>
    </w:rPr>
  </w:style>
  <w:style w:type="character" w:styleId="PlaceholderText">
    <w:name w:val="Placeholder Text"/>
    <w:basedOn w:val="DefaultParagraphFont"/>
    <w:uiPriority w:val="99"/>
    <w:semiHidden/>
    <w:rsid w:val="00BA1B0B"/>
    <w:rPr>
      <w:color w:val="808080"/>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342325839">
      <w:bodyDiv w:val="1"/>
      <w:marLeft w:val="0"/>
      <w:marRight w:val="0"/>
      <w:marTop w:val="0"/>
      <w:marBottom w:val="0"/>
      <w:divBdr>
        <w:top w:val="none" w:sz="0" w:space="0" w:color="auto"/>
        <w:left w:val="none" w:sz="0" w:space="0" w:color="auto"/>
        <w:bottom w:val="none" w:sz="0" w:space="0" w:color="auto"/>
        <w:right w:val="none" w:sz="0" w:space="0" w:color="auto"/>
      </w:divBdr>
      <w:divsChild>
        <w:div w:id="202602320">
          <w:marLeft w:val="1800"/>
          <w:marRight w:val="0"/>
          <w:marTop w:val="77"/>
          <w:marBottom w:val="0"/>
          <w:divBdr>
            <w:top w:val="none" w:sz="0" w:space="0" w:color="auto"/>
            <w:left w:val="none" w:sz="0" w:space="0" w:color="auto"/>
            <w:bottom w:val="none" w:sz="0" w:space="0" w:color="auto"/>
            <w:right w:val="none" w:sz="0" w:space="0" w:color="auto"/>
          </w:divBdr>
        </w:div>
        <w:div w:id="474764325">
          <w:marLeft w:val="1800"/>
          <w:marRight w:val="0"/>
          <w:marTop w:val="77"/>
          <w:marBottom w:val="0"/>
          <w:divBdr>
            <w:top w:val="none" w:sz="0" w:space="0" w:color="auto"/>
            <w:left w:val="none" w:sz="0" w:space="0" w:color="auto"/>
            <w:bottom w:val="none" w:sz="0" w:space="0" w:color="auto"/>
            <w:right w:val="none" w:sz="0" w:space="0" w:color="auto"/>
          </w:divBdr>
        </w:div>
        <w:div w:id="480536340">
          <w:marLeft w:val="547"/>
          <w:marRight w:val="0"/>
          <w:marTop w:val="96"/>
          <w:marBottom w:val="0"/>
          <w:divBdr>
            <w:top w:val="none" w:sz="0" w:space="0" w:color="auto"/>
            <w:left w:val="none" w:sz="0" w:space="0" w:color="auto"/>
            <w:bottom w:val="none" w:sz="0" w:space="0" w:color="auto"/>
            <w:right w:val="none" w:sz="0" w:space="0" w:color="auto"/>
          </w:divBdr>
        </w:div>
        <w:div w:id="523203759">
          <w:marLeft w:val="1800"/>
          <w:marRight w:val="0"/>
          <w:marTop w:val="77"/>
          <w:marBottom w:val="0"/>
          <w:divBdr>
            <w:top w:val="none" w:sz="0" w:space="0" w:color="auto"/>
            <w:left w:val="none" w:sz="0" w:space="0" w:color="auto"/>
            <w:bottom w:val="none" w:sz="0" w:space="0" w:color="auto"/>
            <w:right w:val="none" w:sz="0" w:space="0" w:color="auto"/>
          </w:divBdr>
        </w:div>
        <w:div w:id="585455096">
          <w:marLeft w:val="1166"/>
          <w:marRight w:val="0"/>
          <w:marTop w:val="86"/>
          <w:marBottom w:val="0"/>
          <w:divBdr>
            <w:top w:val="none" w:sz="0" w:space="0" w:color="auto"/>
            <w:left w:val="none" w:sz="0" w:space="0" w:color="auto"/>
            <w:bottom w:val="none" w:sz="0" w:space="0" w:color="auto"/>
            <w:right w:val="none" w:sz="0" w:space="0" w:color="auto"/>
          </w:divBdr>
        </w:div>
        <w:div w:id="1070274779">
          <w:marLeft w:val="1800"/>
          <w:marRight w:val="0"/>
          <w:marTop w:val="77"/>
          <w:marBottom w:val="0"/>
          <w:divBdr>
            <w:top w:val="none" w:sz="0" w:space="0" w:color="auto"/>
            <w:left w:val="none" w:sz="0" w:space="0" w:color="auto"/>
            <w:bottom w:val="none" w:sz="0" w:space="0" w:color="auto"/>
            <w:right w:val="none" w:sz="0" w:space="0" w:color="auto"/>
          </w:divBdr>
        </w:div>
        <w:div w:id="1258756702">
          <w:marLeft w:val="1800"/>
          <w:marRight w:val="0"/>
          <w:marTop w:val="77"/>
          <w:marBottom w:val="0"/>
          <w:divBdr>
            <w:top w:val="none" w:sz="0" w:space="0" w:color="auto"/>
            <w:left w:val="none" w:sz="0" w:space="0" w:color="auto"/>
            <w:bottom w:val="none" w:sz="0" w:space="0" w:color="auto"/>
            <w:right w:val="none" w:sz="0" w:space="0" w:color="auto"/>
          </w:divBdr>
        </w:div>
        <w:div w:id="1599406993">
          <w:marLeft w:val="1166"/>
          <w:marRight w:val="0"/>
          <w:marTop w:val="86"/>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09896107">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22632294">
      <w:bodyDiv w:val="1"/>
      <w:marLeft w:val="0"/>
      <w:marRight w:val="0"/>
      <w:marTop w:val="0"/>
      <w:marBottom w:val="0"/>
      <w:divBdr>
        <w:top w:val="none" w:sz="0" w:space="0" w:color="auto"/>
        <w:left w:val="none" w:sz="0" w:space="0" w:color="auto"/>
        <w:bottom w:val="none" w:sz="0" w:space="0" w:color="auto"/>
        <w:right w:val="none" w:sz="0" w:space="0" w:color="auto"/>
      </w:divBdr>
      <w:divsChild>
        <w:div w:id="712192929">
          <w:marLeft w:val="547"/>
          <w:marRight w:val="0"/>
          <w:marTop w:val="96"/>
          <w:marBottom w:val="0"/>
          <w:divBdr>
            <w:top w:val="none" w:sz="0" w:space="0" w:color="auto"/>
            <w:left w:val="none" w:sz="0" w:space="0" w:color="auto"/>
            <w:bottom w:val="none" w:sz="0" w:space="0" w:color="auto"/>
            <w:right w:val="none" w:sz="0" w:space="0" w:color="auto"/>
          </w:divBdr>
        </w:div>
        <w:div w:id="817578397">
          <w:marLeft w:val="1800"/>
          <w:marRight w:val="0"/>
          <w:marTop w:val="77"/>
          <w:marBottom w:val="0"/>
          <w:divBdr>
            <w:top w:val="none" w:sz="0" w:space="0" w:color="auto"/>
            <w:left w:val="none" w:sz="0" w:space="0" w:color="auto"/>
            <w:bottom w:val="none" w:sz="0" w:space="0" w:color="auto"/>
            <w:right w:val="none" w:sz="0" w:space="0" w:color="auto"/>
          </w:divBdr>
        </w:div>
        <w:div w:id="1079860884">
          <w:marLeft w:val="1800"/>
          <w:marRight w:val="0"/>
          <w:marTop w:val="77"/>
          <w:marBottom w:val="0"/>
          <w:divBdr>
            <w:top w:val="none" w:sz="0" w:space="0" w:color="auto"/>
            <w:left w:val="none" w:sz="0" w:space="0" w:color="auto"/>
            <w:bottom w:val="none" w:sz="0" w:space="0" w:color="auto"/>
            <w:right w:val="none" w:sz="0" w:space="0" w:color="auto"/>
          </w:divBdr>
        </w:div>
        <w:div w:id="1120953335">
          <w:marLeft w:val="1166"/>
          <w:marRight w:val="0"/>
          <w:marTop w:val="86"/>
          <w:marBottom w:val="0"/>
          <w:divBdr>
            <w:top w:val="none" w:sz="0" w:space="0" w:color="auto"/>
            <w:left w:val="none" w:sz="0" w:space="0" w:color="auto"/>
            <w:bottom w:val="none" w:sz="0" w:space="0" w:color="auto"/>
            <w:right w:val="none" w:sz="0" w:space="0" w:color="auto"/>
          </w:divBdr>
        </w:div>
        <w:div w:id="1698190917">
          <w:marLeft w:val="1800"/>
          <w:marRight w:val="0"/>
          <w:marTop w:val="77"/>
          <w:marBottom w:val="0"/>
          <w:divBdr>
            <w:top w:val="none" w:sz="0" w:space="0" w:color="auto"/>
            <w:left w:val="none" w:sz="0" w:space="0" w:color="auto"/>
            <w:bottom w:val="none" w:sz="0" w:space="0" w:color="auto"/>
            <w:right w:val="none" w:sz="0" w:space="0" w:color="auto"/>
          </w:divBdr>
        </w:div>
        <w:div w:id="1706175260">
          <w:marLeft w:val="1800"/>
          <w:marRight w:val="0"/>
          <w:marTop w:val="77"/>
          <w:marBottom w:val="0"/>
          <w:divBdr>
            <w:top w:val="none" w:sz="0" w:space="0" w:color="auto"/>
            <w:left w:val="none" w:sz="0" w:space="0" w:color="auto"/>
            <w:bottom w:val="none" w:sz="0" w:space="0" w:color="auto"/>
            <w:right w:val="none" w:sz="0" w:space="0" w:color="auto"/>
          </w:divBdr>
        </w:div>
        <w:div w:id="1848053707">
          <w:marLeft w:val="1800"/>
          <w:marRight w:val="0"/>
          <w:marTop w:val="77"/>
          <w:marBottom w:val="0"/>
          <w:divBdr>
            <w:top w:val="none" w:sz="0" w:space="0" w:color="auto"/>
            <w:left w:val="none" w:sz="0" w:space="0" w:color="auto"/>
            <w:bottom w:val="none" w:sz="0" w:space="0" w:color="auto"/>
            <w:right w:val="none" w:sz="0" w:space="0" w:color="auto"/>
          </w:divBdr>
        </w:div>
        <w:div w:id="2067756136">
          <w:marLeft w:val="1166"/>
          <w:marRight w:val="0"/>
          <w:marTop w:val="86"/>
          <w:marBottom w:val="0"/>
          <w:divBdr>
            <w:top w:val="none" w:sz="0" w:space="0" w:color="auto"/>
            <w:left w:val="none" w:sz="0" w:space="0" w:color="auto"/>
            <w:bottom w:val="none" w:sz="0" w:space="0" w:color="auto"/>
            <w:right w:val="none" w:sz="0" w:space="0" w:color="auto"/>
          </w:divBdr>
        </w:div>
      </w:divsChild>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66607666">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8065230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C0022FE8-F7FD-48B3-8F5B-EBED42FEB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Jun Tan</cp:lastModifiedBy>
  <cp:revision>3</cp:revision>
  <cp:lastPrinted>2001-04-23T16:30:00Z</cp:lastPrinted>
  <dcterms:created xsi:type="dcterms:W3CDTF">2015-10-05T15:57:00Z</dcterms:created>
  <dcterms:modified xsi:type="dcterms:W3CDTF">2015-10-05T16:00:00Z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